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C5" w:rsidRDefault="00AA64C5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-POSEBNI DIO-</w:t>
      </w:r>
    </w:p>
    <w:p w:rsidR="006B5CCE" w:rsidRPr="00196D0A" w:rsidRDefault="006B5CCE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 xml:space="preserve">OBRAZLOŽENJE PRIJEDLOGA </w:t>
      </w:r>
      <w:r w:rsidR="00314658">
        <w:rPr>
          <w:rFonts w:ascii="Calibri" w:hAnsi="Calibri" w:cs="Calibri"/>
          <w:b/>
          <w:sz w:val="20"/>
          <w:szCs w:val="20"/>
        </w:rPr>
        <w:t xml:space="preserve">I. IZMJENA I DOPUNA </w:t>
      </w:r>
      <w:r w:rsidRPr="00196D0A">
        <w:rPr>
          <w:rFonts w:ascii="Calibri" w:hAnsi="Calibri" w:cs="Calibri"/>
          <w:b/>
          <w:sz w:val="20"/>
          <w:szCs w:val="20"/>
        </w:rPr>
        <w:t xml:space="preserve">FINANCIJSKOG PLANA </w:t>
      </w:r>
    </w:p>
    <w:p w:rsidR="003B6516" w:rsidRPr="00196D0A" w:rsidRDefault="00B93BBE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 202</w:t>
      </w:r>
      <w:r w:rsidR="00481E5F">
        <w:rPr>
          <w:rFonts w:ascii="Calibri" w:hAnsi="Calibri" w:cs="Calibri"/>
          <w:b/>
          <w:sz w:val="20"/>
          <w:szCs w:val="20"/>
        </w:rPr>
        <w:t>6</w:t>
      </w:r>
      <w:r w:rsidR="00314658">
        <w:rPr>
          <w:rFonts w:ascii="Calibri" w:hAnsi="Calibri" w:cs="Calibri"/>
          <w:b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 xml:space="preserve"> GODINU</w:t>
      </w:r>
    </w:p>
    <w:p w:rsidR="006B5CCE" w:rsidRPr="00196D0A" w:rsidRDefault="00C107C8" w:rsidP="006B5CC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Zavoda za javno zdravstvo Međimurske županije</w:t>
      </w:r>
    </w:p>
    <w:p w:rsidR="00A83F80" w:rsidRPr="00196D0A" w:rsidRDefault="00A83F80" w:rsidP="003E2D5C">
      <w:pPr>
        <w:spacing w:after="0"/>
        <w:rPr>
          <w:rFonts w:ascii="Calibri" w:hAnsi="Calibri" w:cs="Calibri"/>
          <w:b/>
          <w:sz w:val="20"/>
          <w:szCs w:val="20"/>
        </w:rPr>
      </w:pPr>
    </w:p>
    <w:p w:rsidR="00A83F80" w:rsidRPr="00196D0A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UVOD</w:t>
      </w:r>
    </w:p>
    <w:p w:rsidR="00C107C8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</w:p>
    <w:p w:rsidR="006B5CCE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DJELOKRUG RADA ZAVODA ZA JAVNO ZDRAVSTVO MEĐIMURSKE ŽUPANIJE</w:t>
      </w:r>
    </w:p>
    <w:p w:rsidR="00C107C8" w:rsidRPr="00196D0A" w:rsidRDefault="00C107C8" w:rsidP="00C107C8">
      <w:pPr>
        <w:spacing w:after="0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Zavod za javno zdravstvo Međimurske županije je zdravstvena ustanova organizirana za obavljanje</w:t>
      </w:r>
      <w:r w:rsidR="00E70BF4" w:rsidRPr="00196D0A">
        <w:rPr>
          <w:rFonts w:ascii="Calibri" w:hAnsi="Calibri" w:cs="Calibri"/>
          <w:sz w:val="20"/>
          <w:szCs w:val="20"/>
        </w:rPr>
        <w:t xml:space="preserve"> preventive primarne i specijalističko-dijagnostičke</w:t>
      </w:r>
      <w:r w:rsidRPr="00196D0A">
        <w:rPr>
          <w:rFonts w:ascii="Calibri" w:hAnsi="Calibri" w:cs="Calibri"/>
          <w:sz w:val="20"/>
          <w:szCs w:val="20"/>
        </w:rPr>
        <w:t xml:space="preserve"> javnozdravstvene djelatnosti koja obuhvaća: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epidemiologiju zaraznih bolesti te kroničnih nezaraznih bolesti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kliničke mikrobiologije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školske i adolescentne medicine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javno zdravstvo i promicanje zdravlja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zdravstvenu ekologiju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zaštitu mentalnog zdravlja, prevenciju i izvanbolničko liječenje ovisnosti</w:t>
      </w:r>
    </w:p>
    <w:p w:rsidR="00335C7A" w:rsidRPr="00196D0A" w:rsidRDefault="00335C7A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Javnozdravstvenu djelatnost Zavod obavlja kao javnu službu.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196D0A" w:rsidRDefault="00C107C8" w:rsidP="0098689C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0C6247" w:rsidRPr="00196D0A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OBRAZLOŽENJE PROGRAMA</w:t>
      </w:r>
    </w:p>
    <w:p w:rsidR="000C6247" w:rsidRPr="00196D0A" w:rsidRDefault="000C6247" w:rsidP="003E2D5C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F72F50" w:rsidRPr="00196D0A" w:rsidTr="00F566CD">
        <w:trPr>
          <w:trHeight w:val="26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196D0A" w:rsidRDefault="0094009E" w:rsidP="006B5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EC0" w:rsidRPr="007B10BE" w:rsidRDefault="000C6247" w:rsidP="007B10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Opis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Financijskim planom sredstva su planirana za provođenje programa zdravstvene zaštite, a sas</w:t>
            </w:r>
            <w:r w:rsidR="00436FFB" w:rsidRPr="00196D0A">
              <w:rPr>
                <w:rFonts w:ascii="Calibri" w:hAnsi="Calibri" w:cs="Calibri"/>
              </w:rPr>
              <w:t xml:space="preserve">toji se od </w:t>
            </w:r>
            <w:r w:rsidR="008C10C4" w:rsidRPr="00196D0A">
              <w:rPr>
                <w:rFonts w:ascii="Calibri" w:hAnsi="Calibri" w:cs="Calibri"/>
              </w:rPr>
              <w:t>sljedećih aktivnosti:</w:t>
            </w:r>
          </w:p>
          <w:p w:rsidR="008C10C4" w:rsidRPr="00481E5F" w:rsidRDefault="008C10C4" w:rsidP="00481E5F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360259" w:rsidRPr="00196D0A" w:rsidRDefault="00481E5F" w:rsidP="00360259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Aktivnost </w:t>
            </w:r>
            <w:r w:rsidR="00360259" w:rsidRPr="00196D0A">
              <w:rPr>
                <w:rFonts w:ascii="Calibri" w:hAnsi="Calibri" w:cs="Calibri"/>
                <w:color w:val="000000" w:themeColor="text1"/>
              </w:rPr>
              <w:t>100901: Decentralizirane funkcije u zdravstvu-opremanje i održavanje</w:t>
            </w:r>
          </w:p>
          <w:p w:rsidR="00436FFB" w:rsidRPr="00196D0A" w:rsidRDefault="00481E5F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100911: Ostalo (izvor financiranja vlastiti i ostali prihodi)</w:t>
            </w:r>
          </w:p>
          <w:p w:rsidR="00436FFB" w:rsidRDefault="00436FFB" w:rsidP="00481E5F">
            <w:pPr>
              <w:pStyle w:val="Bezproreda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B05181" w:rsidRDefault="00B05181" w:rsidP="00481E5F">
            <w:pPr>
              <w:pStyle w:val="Bezproreda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B05181" w:rsidRDefault="00B05181" w:rsidP="00481E5F">
            <w:pPr>
              <w:pStyle w:val="Bezproreda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B05181" w:rsidRDefault="00B05181" w:rsidP="00481E5F">
            <w:pPr>
              <w:pStyle w:val="Bezproreda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B05181" w:rsidRPr="00196D0A" w:rsidRDefault="00B05181" w:rsidP="00481E5F">
            <w:pPr>
              <w:pStyle w:val="Bezproreda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481E5F" w:rsidRPr="00C71593" w:rsidRDefault="00481E5F" w:rsidP="00481E5F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lastRenderedPageBreak/>
              <w:t>AKTIVNOST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100901: </w:t>
            </w:r>
            <w:r w:rsidR="00C71593" w:rsidRPr="00C71593">
              <w:rPr>
                <w:rFonts w:ascii="Calibri" w:hAnsi="Calibri" w:cs="Calibri"/>
                <w:b/>
                <w:color w:val="FF0000"/>
              </w:rPr>
              <w:t>Decentralizirane funkcije u zdravstvu-opremanje i održavanje</w:t>
            </w:r>
          </w:p>
          <w:p w:rsidR="00481E5F" w:rsidRPr="00C71593" w:rsidRDefault="00481E5F" w:rsidP="00481E5F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C71593" w:rsidRPr="00196D0A" w:rsidRDefault="00C71593" w:rsidP="00481E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481E5F" w:rsidRPr="00196D0A" w:rsidRDefault="00C71593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Decentralizirane funkcije u </w:t>
            </w:r>
            <w:r>
              <w:rPr>
                <w:rFonts w:ascii="Calibri" w:hAnsi="Calibri" w:cs="Calibri"/>
                <w:color w:val="000000" w:themeColor="text1"/>
              </w:rPr>
              <w:t>zdravstvu (opremanje i održavanje)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planiran</w:t>
            </w:r>
            <w:r w:rsidR="00481E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 je redovito tekuće održavanje 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medicinske, nemedicinske i informatičke opreme potrebnih za neometano funkcioniranje Zavoda.</w:t>
            </w:r>
          </w:p>
          <w:p w:rsidR="00481E5F" w:rsidRPr="00196D0A" w:rsidRDefault="00F72D2E" w:rsidP="00481E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okviru te aktivnosti planirano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je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ulaganje u računalni program te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kupnja nove opreme</w:t>
            </w:r>
            <w:r w:rsidR="00481E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prema popisu prioriteta za 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godinu. </w:t>
            </w: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Cilj: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Redovno i pravodobno servisiranje i održavanje nemedicinske, medicinske i informatičke opreme</w:t>
            </w:r>
            <w:r w:rsidR="00C715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te službenih vozila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koja se financira iz decentraliziranih funkcija  ima za cilj nesmetano funkcioniranje postrojenja i opreme u Zavodu radi kontinuiranog pružanja zdravstvene zaštite pacijentima.</w:t>
            </w: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Odluka o minimalnim financijskim standardima za decentralizirane funkcij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 za zdravstvene ustanove u 202</w:t>
            </w:r>
            <w:r w:rsidR="00F72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godini </w:t>
            </w:r>
          </w:p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81E5F" w:rsidRPr="008A469A" w:rsidRDefault="00481E5F" w:rsidP="00481E5F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</w:rPr>
              <w:t>Procjena i ishodište potrebnih sredstava za akt</w:t>
            </w:r>
            <w:r>
              <w:rPr>
                <w:rFonts w:ascii="Calibri" w:hAnsi="Calibri" w:cs="Calibri"/>
                <w:b/>
              </w:rPr>
              <w:t xml:space="preserve">ivnost : </w:t>
            </w:r>
            <w:r w:rsidRPr="008A469A">
              <w:rPr>
                <w:rFonts w:ascii="Calibri" w:hAnsi="Calibri" w:cs="Calibri"/>
                <w:color w:val="000000" w:themeColor="text1"/>
              </w:rPr>
              <w:t>Održavanje i kapitalna ulaganja-decentralizirana sredstva</w:t>
            </w:r>
          </w:p>
          <w:p w:rsidR="00481E5F" w:rsidRPr="00196D0A" w:rsidRDefault="00481E5F" w:rsidP="00481E5F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81E5F" w:rsidRPr="00196D0A" w:rsidRDefault="00481E5F" w:rsidP="00481E5F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19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83"/>
              <w:gridCol w:w="1311"/>
            </w:tblGrid>
            <w:tr w:rsidR="00140991" w:rsidRPr="00196D0A" w:rsidTr="00140991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0991" w:rsidRPr="00DB1F76" w:rsidRDefault="00140991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40991" w:rsidRDefault="00140991" w:rsidP="009225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Plan </w:t>
                  </w:r>
                </w:p>
                <w:p w:rsidR="00140991" w:rsidRPr="00DB1F76" w:rsidRDefault="00140991" w:rsidP="009225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2025.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40991" w:rsidRDefault="00140991" w:rsidP="00140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140991" w:rsidRDefault="00140991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140991" w:rsidRPr="00DB1F76" w:rsidRDefault="00140991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2026.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0991" w:rsidRPr="00DB1F76" w:rsidRDefault="00140991" w:rsidP="00481E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Povećanje/smanjenje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40991" w:rsidRPr="00DB1F76" w:rsidRDefault="00140991" w:rsidP="00481E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I. Izmjene i dopune za 2026.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40991" w:rsidRPr="00196D0A" w:rsidTr="0014099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0991" w:rsidRPr="00DB1F76" w:rsidRDefault="00140991" w:rsidP="002D58E1">
                  <w:pPr>
                    <w:pStyle w:val="Bezproreda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DB1F76">
                    <w:rPr>
                      <w:rFonts w:asciiTheme="minorHAnsi" w:hAnsiTheme="minorHAnsi" w:cstheme="minorHAnsi"/>
                      <w:color w:val="000000" w:themeColor="text1"/>
                    </w:rPr>
                    <w:t>Održavanje i kapitalna ulaganja-decentralizirana sredstva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0991" w:rsidRPr="00DB1F76" w:rsidRDefault="00140991" w:rsidP="009225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     182.390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40991" w:rsidRDefault="00140991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  <w:p w:rsidR="00140991" w:rsidRDefault="00140991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182.390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0991" w:rsidRPr="00DB1F76" w:rsidRDefault="00140991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40991" w:rsidRPr="00DB1F76" w:rsidRDefault="00140991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182.390</w:t>
                  </w:r>
                </w:p>
              </w:tc>
            </w:tr>
          </w:tbl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84AE1" w:rsidRPr="00196D0A" w:rsidRDefault="00884AE1" w:rsidP="00F72D2E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C10C4" w:rsidRPr="00196D0A" w:rsidRDefault="005A443A" w:rsidP="008C10C4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Aktivnost </w:t>
            </w:r>
            <w:r w:rsidR="00F72D2E">
              <w:rPr>
                <w:rFonts w:ascii="Calibri" w:hAnsi="Calibri" w:cs="Calibri"/>
                <w:b/>
                <w:color w:val="FF0000"/>
              </w:rPr>
              <w:t>100911: OSTALO (izvor financiranja vlastiti i ostali prihodi)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107C8" w:rsidRPr="00196D0A" w:rsidRDefault="00F72D2E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Aktivnost- ostalo odnosi se na </w:t>
            </w:r>
            <w:r w:rsidR="005227F1" w:rsidRPr="00196D0A">
              <w:rPr>
                <w:rFonts w:ascii="Calibri" w:hAnsi="Calibri" w:cs="Calibri"/>
                <w:sz w:val="20"/>
                <w:szCs w:val="20"/>
              </w:rPr>
              <w:t>ukupno poslovanje Zavoda za javn</w:t>
            </w:r>
            <w:r>
              <w:rPr>
                <w:rFonts w:ascii="Calibri" w:hAnsi="Calibri" w:cs="Calibri"/>
                <w:sz w:val="20"/>
                <w:szCs w:val="20"/>
              </w:rPr>
              <w:t>o zdravstvo Međimurske županije izuzev ulaganja iz decentraliziranih sredstava.</w:t>
            </w:r>
          </w:p>
          <w:p w:rsidR="005227F1" w:rsidRPr="00196D0A" w:rsidRDefault="005227F1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196D0A" w:rsidRDefault="00205C62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specifičnu i preventivnu zdravstvenu zaštitu djece i mladeži,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osobito u osnovnim i srednjim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školama te visokim učilištima na svom 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prati, proučava, evaluira i izvješćuje o zdravstvenim potrebama i f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unkcionalnoj onesposobljenosti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prikuplja, kontrolira i analizira statistička izvješća iz područja zdravstva, uključujući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ovisnosti, na razini jedinica područne (regionalne) samouprave za potrebe Hrvatskog zavoda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javno zdravstvo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tva na tom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kontinuirano provodi mjere higijensko-epidemiološke zaštite s epidemiološ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kom analizom stanja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području jedinice područne (regionalne) samouprave i po potrebi pro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vodi protuepidemijske mjere te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nadzire provođenje obveznih imunizacija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analizira epidemiološko stanje, planira, predlaže i sudjeluje u provođenju mjera i aktivnosti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sprječavanje, rano otkrivanje i suzbijanje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a prevenciju i rano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oblika ovisnosti, kao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i mjere očuvanja mentalnog zdravlja u zajednici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surađuje sa zdravstvenim i drugim ustanovama i zdravstvenim radni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cima u provedbi dijagnostike 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obavlja mikrobiološku djelatnost od interesa za jedinicu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proučava, analizira i ocjenjuje zdravstvenu ispravnost vode za ljudsku potrošnju, vode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rekreaciju i fizikalnu terapiju, površinske i otpadne vode, stanje vodoopskrbe te zdravstvenu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ispravnost namirnica i predmeta opće uporabe za područje jedinice područne (regionalne)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– sudjeluje u izradi i provedbi pojedinih programa zdravstvene zaštite u izvanrednim prilikama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planiranju, predlaganju i provođenju mjera promicanja tjelesnog, mentalnog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spolnog/reproduktivnog zdravlja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sudjeluje u planiranju, predlaganju i provođenju mjera za sprečavanje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, rano otkrivanje i suzbijanje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kroničnih nezaraznih bolesti, uključujući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raspodjelu obveznih cjepiva ordinacijama na primarnoj raz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ini zdravstvene djelatnosti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može obavljati stručne poslove zaštite okoliša sukladno posebnim propisima vezano uz zaštitu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okoliša i zaštitu zraka </w:t>
            </w:r>
          </w:p>
          <w:p w:rsidR="00C107C8" w:rsidRPr="00196D0A" w:rsidRDefault="00C107C8" w:rsidP="00557376">
            <w:pPr>
              <w:pStyle w:val="Defaul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i ostale poslove za potrebe obavljanja javnozdravstvene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djelatnosti sukladno posebnim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propisima</w:t>
            </w:r>
          </w:p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2D5C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196D0A" w:rsidRDefault="003E2D5C" w:rsidP="002F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pStyle w:val="Bezproreda"/>
              <w:jc w:val="both"/>
              <w:rPr>
                <w:rFonts w:ascii="Calibri" w:hAnsi="Calibri" w:cs="Calibri"/>
                <w:b/>
              </w:rPr>
            </w:pP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obveznom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zdravstvenoj zaštiti,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dobrovoljnom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kvaliteti zdravstvene zaštite i socijalne skrbi,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standardima i normativima prava na zdravstvenu zaštitu iz obveznog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pravima, uvjetima i načinu ostvarivanja prava iz obveznog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plaćama u javnim službama,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nazivima radnih mjesta i koeficijentima složenosti poslova u javnim službama Temeljni KU za javne službe,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KU za djelatnost zdravstva i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zaštiti na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proračunu,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javnoj nabavi,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proračunskom računovodstvu i računskom planu,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načinu izračuna iznosa pomoći izravnanja za decentralizirane funkcije jedinica lokalne i područne (regionalne) samouprave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Odluka o minimalnim financijskim standardima za decentralizirane funkcije</w:t>
            </w:r>
          </w:p>
          <w:p w:rsidR="0094009E" w:rsidRPr="00196D0A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ostali važeći zakoni, uredbe i </w:t>
            </w:r>
            <w:proofErr w:type="spellStart"/>
            <w:r w:rsidRPr="00196D0A">
              <w:rPr>
                <w:rFonts w:ascii="Calibri" w:hAnsi="Calibri" w:cs="Calibri"/>
              </w:rPr>
              <w:t>podzakonski</w:t>
            </w:r>
            <w:proofErr w:type="spellEnd"/>
            <w:r w:rsidRPr="00196D0A">
              <w:rPr>
                <w:rFonts w:ascii="Calibri" w:hAnsi="Calibri" w:cs="Calibri"/>
              </w:rPr>
              <w:t xml:space="preserve"> propisi</w:t>
            </w:r>
          </w:p>
        </w:tc>
      </w:tr>
      <w:tr w:rsidR="003E2D5C" w:rsidRPr="00196D0A" w:rsidTr="00F566CD">
        <w:trPr>
          <w:trHeight w:val="58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196D0A" w:rsidRDefault="002F7429" w:rsidP="003E2D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Ciljevi pr</w:t>
            </w:r>
            <w:r w:rsidR="00406B6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ovedbe programa u razdoblju u 2026. godini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Glavni cilj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>Specifični ciljevi su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promicanje zdravlja i prevencija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i sprečavanje širenja 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nezaraznih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unapređenje i zaštita mentalnog zdravlja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zdravstvenog stanja i unapređenje zdravlja djece i mladeži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osig</w:t>
            </w:r>
            <w:r w:rsidR="00884AE1" w:rsidRPr="00196D0A">
              <w:rPr>
                <w:rFonts w:ascii="Calibri" w:hAnsi="Calibri" w:cs="Calibri"/>
                <w:sz w:val="20"/>
                <w:szCs w:val="20"/>
              </w:rPr>
              <w:t xml:space="preserve">uranje brze i pouzdane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dijagnostike infekcija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stanja i osiguravanje zdravog okoliša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uvođenje i osiguranje sustava kvalitete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potpuna informatizacija djelatnosti Zavoda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trajno stručno usavršavanje zaposlenika</w:t>
            </w:r>
          </w:p>
          <w:p w:rsidR="00884AE1" w:rsidRPr="00196D0A" w:rsidRDefault="00884AE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8689C" w:rsidRPr="00196D0A" w:rsidRDefault="0098689C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Povećati broj cijepljenih osoba protiv HPV-a</w:t>
            </w:r>
          </w:p>
          <w:p w:rsidR="005308B7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A04B8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Kontinuiranim nadzorom nad provedbom cijepljenja, edukacijom školske djece te individualnim savjetovanjem osoba koje odbijaju cijepljenje postižu se željeni rezultati</w:t>
            </w:r>
            <w:r w:rsidR="00A906BF" w:rsidRPr="00196D0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A04B8" w:rsidRDefault="00EA04B8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05181" w:rsidRDefault="00B05181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05181" w:rsidRPr="00196D0A" w:rsidRDefault="00B05181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</w:tblGrid>
            <w:tr w:rsidR="004153E0" w:rsidRPr="00196D0A" w:rsidTr="004153E0">
              <w:tc>
                <w:tcPr>
                  <w:tcW w:w="1318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lastRenderedPageBreak/>
                    <w:t xml:space="preserve">Pokazatelj </w:t>
                  </w:r>
                </w:p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4153E0" w:rsidRPr="00196D0A" w:rsidRDefault="004153E0" w:rsidP="00F72D2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4153E0" w:rsidRPr="00196D0A" w:rsidTr="004153E0">
              <w:tc>
                <w:tcPr>
                  <w:tcW w:w="1318" w:type="dxa"/>
                  <w:shd w:val="clear" w:color="000000" w:fill="auto"/>
                </w:tcPr>
                <w:p w:rsidR="004153E0" w:rsidRPr="00196D0A" w:rsidRDefault="004153E0" w:rsidP="00D3423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Postotak procijepljenosti školske djece protiv virusa HPV</w:t>
                  </w:r>
                </w:p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58%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4153E0" w:rsidRPr="00196D0A" w:rsidRDefault="004153E0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60</w:t>
                  </w: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%</w:t>
                  </w:r>
                </w:p>
              </w:tc>
            </w:tr>
          </w:tbl>
          <w:p w:rsidR="00C800A9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C5EC0" w:rsidRPr="00196D0A" w:rsidRDefault="002C5EC0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odaziva na probir za rak dojke i debelog crijeva</w:t>
            </w: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3388D" w:rsidRDefault="0063388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</w:tblGrid>
            <w:tr w:rsidR="004153E0" w:rsidRPr="004A2053" w:rsidTr="002D58E1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4153E0" w:rsidRPr="004A2053" w:rsidRDefault="004153E0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6</w:t>
                  </w: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4153E0" w:rsidRPr="004A2053" w:rsidTr="002D58E1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 xml:space="preserve">Odaziv na probir za rak dojke (D), debelog crijeva (DC)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7</w:t>
                  </w:r>
                  <w:r>
                    <w:rPr>
                      <w:rFonts w:eastAsia="Times New Roman" w:cs="Calibri"/>
                      <w:sz w:val="16"/>
                      <w:szCs w:val="16"/>
                    </w:rPr>
                    <w:t>8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(D)</w:t>
                  </w:r>
                </w:p>
                <w:p w:rsidR="004153E0" w:rsidRPr="004A2053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28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(DC)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153E0" w:rsidRPr="004A2053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53E0" w:rsidRPr="00B0465D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B0465D">
                    <w:rPr>
                      <w:rFonts w:eastAsia="Times New Roman" w:cs="Calibri"/>
                      <w:sz w:val="16"/>
                      <w:szCs w:val="16"/>
                    </w:rPr>
                    <w:t>77% (D)</w:t>
                  </w:r>
                </w:p>
                <w:p w:rsidR="004153E0" w:rsidRPr="00B0465D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B0465D">
                    <w:rPr>
                      <w:rFonts w:eastAsia="Times New Roman" w:cs="Calibri"/>
                      <w:sz w:val="16"/>
                      <w:szCs w:val="16"/>
                    </w:rPr>
                    <w:t>35</w:t>
                  </w:r>
                  <w:r>
                    <w:rPr>
                      <w:rFonts w:eastAsia="Times New Roman" w:cs="Calibri"/>
                      <w:sz w:val="16"/>
                      <w:szCs w:val="16"/>
                    </w:rPr>
                    <w:t>%</w:t>
                  </w:r>
                  <w:r w:rsidRPr="00B0465D">
                    <w:rPr>
                      <w:rFonts w:eastAsia="Times New Roman" w:cs="Calibri"/>
                      <w:sz w:val="16"/>
                      <w:szCs w:val="16"/>
                    </w:rPr>
                    <w:t>(DC)</w:t>
                  </w:r>
                </w:p>
                <w:p w:rsidR="004153E0" w:rsidRPr="004A2053" w:rsidRDefault="004153E0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</w:tc>
            </w:tr>
          </w:tbl>
          <w:p w:rsidR="00842B35" w:rsidRPr="002C5EC0" w:rsidRDefault="00842B35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2C5EC0">
              <w:rPr>
                <w:rFonts w:asciiTheme="minorHAnsi" w:hAnsiTheme="minorHAnsi" w:cstheme="minorHAnsi"/>
                <w:b/>
                <w:color w:val="FF0000"/>
              </w:rPr>
              <w:t>Savjetovalište za prevenciju prekomjerne tjelesne težine i debljine</w:t>
            </w: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Zakonska osnova: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Nacionalna razvojna strategi</w:t>
            </w:r>
            <w:r w:rsidR="0057115E" w:rsidRPr="002C5EC0">
              <w:rPr>
                <w:rFonts w:cstheme="minorHAnsi"/>
                <w:b/>
                <w:sz w:val="20"/>
                <w:szCs w:val="20"/>
              </w:rPr>
              <w:t xml:space="preserve">ja Republike Hrvatske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Cilj  5. „Zdrav, aktivan i kvalitetan život“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>Prioritetno područje: 2. Zdravlje, zdrave prehrambene navike i aktivni život kroz sport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Nacionalni plan razvoja zdravstva za razdoblje od 2021.-2027. godine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Posebni cilj 1. Bolje zdrave životne navike i učinkovitija prevencija bolesti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Mjera 1. Promicanje zdravih životnih navika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Opis, obrazloženje mjere</w:t>
            </w:r>
            <w:r w:rsidRPr="002C5EC0">
              <w:rPr>
                <w:rFonts w:cstheme="minorHAnsi"/>
                <w:sz w:val="20"/>
                <w:szCs w:val="20"/>
              </w:rPr>
              <w:t>: s obzirom na raširenost čimbenika rizika (pušenje, pretilost, tjelesna neaktivnost, itd.), bolja briga o vlastitom zdravlju jedan je od osnovnih preduvjeta da preokrenemo negativne zdravstvene trendove. Programi edukacije i kampanje, provedba populacijskih istraživanja, standardizacija jelovnika u javnim ustanovama, promjena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propisa o proizvodima štetnima za zdravlje i uspostava mreže savjetovališta unaprijedit će zdravstvene ishode populacije.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Nacionalni plan razvoja Međimurske županije do 2027. godine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Prioritet 2. „Zdravo, uključivo i otporno društvo“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Mjera 2.5.1. Promicanje zdravih stilova života od najranije mladosti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  <w:t>Opis mjere:</w:t>
            </w: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Nastavak promicanja zdravih životnih stilova (zdravstvena pismenost i kultura; zdrava i raznovrsna prehrana, kretanje, sportska rekreacija i dr.). Osnaživanje primarne zdravstvene zaštite i Zavoda za javno zdravstvo za provedbu programa prevencije pretilosti i njihova promocija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3388D" w:rsidRDefault="0063388D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3388D" w:rsidRDefault="0063388D" w:rsidP="0063388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CILJ : Povećanje obuhvata osoba tretmanom zbog prevencije i korekcije prekomjerne tjelesne težine i debljine i usvajanja zdravog stila života</w:t>
            </w:r>
          </w:p>
          <w:p w:rsidR="0063388D" w:rsidRDefault="0063388D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05181" w:rsidRDefault="00B05181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05181" w:rsidRDefault="00B05181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05181" w:rsidRDefault="00B05181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05181" w:rsidRDefault="00B05181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05181" w:rsidRDefault="00B05181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tbl>
            <w:tblPr>
              <w:tblW w:w="7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212"/>
              <w:gridCol w:w="943"/>
              <w:gridCol w:w="1559"/>
              <w:gridCol w:w="1137"/>
              <w:gridCol w:w="1214"/>
            </w:tblGrid>
            <w:tr w:rsidR="004153E0" w:rsidTr="004153E0"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lastRenderedPageBreak/>
                    <w:t xml:space="preserve">Pokazatelj </w:t>
                  </w:r>
                </w:p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(2026.)</w:t>
                  </w:r>
                </w:p>
              </w:tc>
            </w:tr>
            <w:tr w:rsidR="004153E0" w:rsidTr="004153E0"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osoba u tretmanu</w:t>
                  </w: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pruženih usluga savjetovanja nutricioniste</w:t>
                  </w: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ukupnih usluga Savjetovališta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 xml:space="preserve">Povećanjem broja osoba u tretmanu i usluga Savjetovališta povećat će se broj osoba koje će usvojiti zdrave životne navike te će se tako smanjiti 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prevalencija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 xml:space="preserve"> prekomjerne tjelesne težine i debljine u našem stanovništvu, a posljedično i 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prevalencija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 xml:space="preserve"> kroničnih  nezaraznih bolesti povezanih s njom 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418 (osoba)</w:t>
                  </w: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598 (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savjet.nutric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>.)</w:t>
                  </w: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1.565 (ukupno usluga)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Pr="008C6519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 w:rsidRPr="008C6519">
                    <w:rPr>
                      <w:rFonts w:eastAsia="Times New Roman" w:cs="Calibri"/>
                      <w:sz w:val="16"/>
                      <w:szCs w:val="16"/>
                    </w:rPr>
                    <w:t>420</w:t>
                  </w:r>
                </w:p>
                <w:p w:rsidR="004153E0" w:rsidRPr="008C6519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8C6519">
                    <w:rPr>
                      <w:rFonts w:eastAsia="Times New Roman" w:cs="Calibri"/>
                      <w:sz w:val="16"/>
                      <w:szCs w:val="16"/>
                    </w:rPr>
                    <w:t>730</w:t>
                  </w: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1800</w:t>
                  </w:r>
                </w:p>
              </w:tc>
            </w:tr>
          </w:tbl>
          <w:p w:rsidR="0063388D" w:rsidRDefault="0063388D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63388D" w:rsidRDefault="00406B64" w:rsidP="0063388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Obrazloženje:</w:t>
            </w:r>
          </w:p>
          <w:p w:rsidR="0063388D" w:rsidRDefault="0063388D" w:rsidP="0063388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63388D" w:rsidRDefault="00C71593" w:rsidP="00C7159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Z</w:t>
            </w:r>
            <w:r w:rsidR="0063388D">
              <w:rPr>
                <w:rFonts w:cs="Calibri"/>
                <w:sz w:val="20"/>
                <w:szCs w:val="20"/>
              </w:rPr>
              <w:t>avodu za javno zdravstvo Međimurske županije od 2007. godine djeluje Savjetovalište za prevenciju i tretman prekomjerne tjelesne težine i debljine. Rad se temelji na multidisciplinarnom pristupu, a od 2020. godine kao stalni član tima na puno radno vrijeme je zaposlena magistra nutricionizma.</w:t>
            </w:r>
          </w:p>
          <w:p w:rsidR="002C5EC0" w:rsidRP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66F14" w:rsidRDefault="00766F14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Default="00196D0A" w:rsidP="00196D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CILJ: Povećanje obuhvata osoba tretmanom zbog poteškoća mentalnog zdravlja-savjetovalište školske djece</w:t>
            </w:r>
          </w:p>
          <w:p w:rsidR="00196D0A" w:rsidRDefault="00196D0A" w:rsidP="00196D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</w:tblGrid>
            <w:tr w:rsidR="004153E0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 w:rsidP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(2026.)</w:t>
                  </w:r>
                </w:p>
              </w:tc>
            </w:tr>
            <w:tr w:rsidR="004153E0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 u tretmanu</w:t>
                  </w: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Povećanjem broja djece u tretmanu prevenirati će se negativni socijalno-ekonomski društveni učinci u mentalnom razvoju i zdravlju djeteta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53E0" w:rsidRDefault="004153E0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330</w:t>
                  </w:r>
                </w:p>
              </w:tc>
            </w:tr>
          </w:tbl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66F14" w:rsidRPr="00196D0A" w:rsidRDefault="00766F14" w:rsidP="00196D0A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Centralno financiranje specijalizacija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Zavod za javno zdravstvo Međimurske županije se javio na Ograničeni poziv za dodjelu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besprovratnih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projekata pod nazivom „Centralno financiranje specijalizacija“ temeljem nacionalnog plana oporavka i otpornosti 2021.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-</w:t>
            </w:r>
            <w:r w:rsidRPr="00196D0A">
              <w:rPr>
                <w:rFonts w:ascii="Calibri" w:hAnsi="Calibri" w:cs="Calibri"/>
                <w:color w:val="000000" w:themeColor="text1"/>
              </w:rPr>
              <w:t>2026. kojim će se financirati tri s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>pecijalizacije doktora medicine. Specijalistička usavr</w:t>
            </w:r>
            <w:r w:rsidR="00C71593">
              <w:rPr>
                <w:rFonts w:ascii="Calibri" w:hAnsi="Calibri" w:cs="Calibri"/>
                <w:color w:val="000000" w:themeColor="text1"/>
              </w:rPr>
              <w:t>šavanja doktora medicine provode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 xml:space="preserve"> će se iz područja  epidemiologije, školske i adolescentne medicine te kliničke mikrobiologije.</w:t>
            </w:r>
            <w:r w:rsidR="00EC78F4">
              <w:rPr>
                <w:rFonts w:ascii="Calibri" w:hAnsi="Calibri" w:cs="Calibri"/>
                <w:color w:val="000000" w:themeColor="text1"/>
              </w:rPr>
              <w:t xml:space="preserve"> Tijekom 2026</w:t>
            </w:r>
            <w:r w:rsidR="00C71593">
              <w:rPr>
                <w:rFonts w:ascii="Calibri" w:hAnsi="Calibri" w:cs="Calibri"/>
                <w:color w:val="000000" w:themeColor="text1"/>
              </w:rPr>
              <w:t>. godine financira se samo 1 specijalizantica kliničke mikrobiologije jer su ostali završili specijalističko usavršavanje</w:t>
            </w:r>
          </w:p>
          <w:p w:rsidR="00F661C1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B05181" w:rsidRDefault="00B0518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B05181" w:rsidRPr="00196D0A" w:rsidRDefault="00B0518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lastRenderedPageBreak/>
              <w:t>Zakonske i druge pravne osnove programa: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Zakonska osnova zasniva se na Zakonu o 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zdravstvenoj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zaštiti, Nacionalnom planu oporavka i otpornosti 2021.-2026., Nacionalnom  planu specijalističkog usavršavanja zdravstvenih radnika za petogodišnje razdoblje, Pravilniku o specijalističkom usavršavanju doktora medicine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 xml:space="preserve"> i Odluke ministra zdravstva o specijalističkom usavršavanju doktora medicine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u djelatnosti obiteljske medicine, pedijatrije, ginekologije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opstetricije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, medicine rada i sporta, hitne medicine,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oftamologije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optometrije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>, opće interne medicine, fizikalne medicine i rehabilitacije, kliničke radiologije, epidemiologije, školske i adolescentne medicine i kliničke mikrobiologije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.</w:t>
            </w:r>
          </w:p>
          <w:p w:rsidR="00C959F8" w:rsidRPr="00196D0A" w:rsidRDefault="00C959F8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036C3" w:rsidRPr="00196D0A" w:rsidRDefault="00E036C3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Ciljevi pr</w:t>
            </w:r>
            <w:r w:rsidR="00406B64">
              <w:rPr>
                <w:rFonts w:ascii="Calibri" w:hAnsi="Calibri" w:cs="Calibri"/>
                <w:b/>
                <w:color w:val="000000" w:themeColor="text1"/>
              </w:rPr>
              <w:t>ovedbe programa u 2026. godini: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Primarni cilj je nadomještanje djelatnika specijalista koji odlaze u mirovinu, novim, mladim specijalistima a sve sa svrhom da se osigura: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epidemiološke zaštite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školske i adolescentne medicine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u djelatnosti kliničke mikrobiologije u ZZJZ MŽ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povećana ukupna kvaliteta usluge primarne zdravstvene zaštite pacijenata i pučanstva u MŽ</w:t>
            </w:r>
          </w:p>
          <w:p w:rsidR="00C0791B" w:rsidRDefault="00C0791B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Program usmjeren unapređenju mentalnog zdravlja, prevenciji i liječenju ovisnosti u Međimurskoj županiji</w:t>
            </w: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7D65ED" w:rsidRPr="00196D0A" w:rsidRDefault="007D65E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D65ED" w:rsidRPr="00196D0A" w:rsidRDefault="00EC78F4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Zavod se redovno</w:t>
            </w:r>
            <w:r w:rsidR="007D65ED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javlja na natječaj za program objavljen od strane Ministarstva zdravstva - program je usmjeren zaštiti mentalnog zdravlja stanovništva Međimurske županije, prevenciji i izvanbolničkom liječenju ovisnosti. Očekujemo da će financijski priljev po navedenom programu od strane Ministars</w:t>
            </w:r>
            <w:r w:rsidR="008A469A">
              <w:rPr>
                <w:rFonts w:ascii="Calibri" w:hAnsi="Calibri" w:cs="Calibri"/>
                <w:sz w:val="20"/>
                <w:szCs w:val="20"/>
                <w:lang w:eastAsia="en-US"/>
              </w:rPr>
              <w:t>tva zdravstva biti u tijeku 202</w:t>
            </w:r>
            <w:r w:rsidR="0063388D">
              <w:rPr>
                <w:rFonts w:ascii="Calibri" w:hAnsi="Calibri" w:cs="Calibri"/>
                <w:sz w:val="20"/>
                <w:szCs w:val="20"/>
                <w:lang w:eastAsia="en-US"/>
              </w:rPr>
              <w:t>6</w:t>
            </w:r>
            <w:r w:rsidR="008A469A">
              <w:rPr>
                <w:rFonts w:ascii="Calibri" w:hAnsi="Calibri" w:cs="Calibri"/>
                <w:sz w:val="20"/>
                <w:szCs w:val="20"/>
                <w:lang w:eastAsia="en-US"/>
              </w:rPr>
              <w:t>. u iznosu od 55.000</w:t>
            </w:r>
            <w:r w:rsidR="007D65ED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EUR</w:t>
            </w:r>
            <w:r w:rsidR="001E398B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. Program</w:t>
            </w:r>
            <w:r w:rsidR="007D65ED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je nastavak aktivnosti usmjerenih ka prevenciji, ranom otkrivanju, liječenju i rehabilitaciji mentalnih poremećaja i ovisnosti o alkoholu i drugim sredstvima ovisnosti, obuhvaćajući stanovništvo MŽ svih starosnih dobi, od predškolske do umirovljeničke, s posebnim naglaskom na primarnu prevenciju kroz program treninga životnih vještina. Trening životnih vještina dokazano je učinkovit u prevenciji ovisničkih i drugih oblika rizičnih ponašanja. Radi se o programu primarne prevencije rizičnih ponašanja (pušenja, konzumacije alkohola i zlouporabe droga) kojeg naš Zavod u suradnji s Međimurskom županijom i školskim preventivnim programima provodi od 2016. godine. Spada u programe nove generacije koji su formirani na temelju nalaza velikog broja istraživanja o tome što predstavlja zaštitne, a što rizične faktore u nastanku ovisničkog ponašanja. Program se  provodi za učenike  4., 5, 6.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="007D65ED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7. razreda osnovne škole, kako bi se zahvatio period ključan za razvoj stavova i navika povezanih s ovisničkim ponašanjem i drugim oblicima poremećaja u ponašanju. Provode ga razrednici i stručni suradnici škola uz superviziju stručnjaka iz Djelatnosti za zaštitu mentalnog zdravlja, prevenciju i izvanbolničko liječenje ovisnosti ZZJZ MŽ. 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Zakonska osnova: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Nacionalna strategija 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djelovanja na području ovisnosti za razdoblje do 2030.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g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odine</w:t>
            </w:r>
          </w:p>
          <w:p w:rsidR="00196D0A" w:rsidRPr="008E1211" w:rsidRDefault="00196D0A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eastAsia="Arial Unicode MS" w:hAnsi="Calibri" w:cs="Calibri"/>
                <w:sz w:val="20"/>
                <w:szCs w:val="20"/>
              </w:rPr>
              <w:t>Akcijski plan djelovanja na području ovisnosti do 2026. godine</w:t>
            </w:r>
          </w:p>
          <w:p w:rsidR="0063388D" w:rsidRDefault="007D65ED" w:rsidP="00842B35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Nacionalna strategija zaštite mentalnog zdravlja</w:t>
            </w:r>
          </w:p>
          <w:p w:rsidR="00842B35" w:rsidRPr="00196D0A" w:rsidRDefault="00842B35" w:rsidP="00842B35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uporabe sredstava ovisnosti</w:t>
            </w: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</w:tblGrid>
            <w:tr w:rsidR="004153E0" w:rsidRPr="00196D0A" w:rsidTr="00D34235"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4153E0" w:rsidRPr="00196D0A" w:rsidRDefault="004153E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4153E0" w:rsidRPr="00196D0A" w:rsidRDefault="004153E0" w:rsidP="0063388D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4153E0" w:rsidRPr="00196D0A" w:rsidTr="00D34235"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213" w:type="dxa"/>
                </w:tcPr>
                <w:p w:rsidR="004153E0" w:rsidRPr="00196D0A" w:rsidRDefault="004153E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4153E0" w:rsidRPr="00196D0A" w:rsidRDefault="004153E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</w:tr>
          </w:tbl>
          <w:p w:rsidR="008A469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42B35" w:rsidRPr="00907588" w:rsidRDefault="00842B35" w:rsidP="00842B35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  <w:b/>
              </w:rPr>
            </w:pPr>
            <w:r w:rsidRPr="00907588">
              <w:rPr>
                <w:rFonts w:cstheme="minorHAnsi"/>
                <w:b/>
              </w:rPr>
              <w:t>Procjena i ishodište potrebnih sredstava za aktivn</w:t>
            </w:r>
            <w:r>
              <w:rPr>
                <w:rFonts w:cstheme="minorHAnsi"/>
                <w:b/>
              </w:rPr>
              <w:t>osti: OSTALO (izvor financiranja vlastiti</w:t>
            </w:r>
            <w:r w:rsidR="00C71593">
              <w:rPr>
                <w:rFonts w:cstheme="minorHAnsi"/>
                <w:b/>
              </w:rPr>
              <w:t xml:space="preserve"> i ostali prihodi</w:t>
            </w:r>
          </w:p>
          <w:p w:rsidR="00842B35" w:rsidRPr="00907588" w:rsidRDefault="00842B35" w:rsidP="00842B35">
            <w:pPr>
              <w:spacing w:after="0" w:line="240" w:lineRule="auto"/>
              <w:ind w:left="360"/>
              <w:rPr>
                <w:rFonts w:cstheme="minorHAnsi"/>
              </w:rPr>
            </w:pPr>
          </w:p>
          <w:p w:rsidR="00842B35" w:rsidRDefault="00842B35" w:rsidP="00842B3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998"/>
              <w:gridCol w:w="1998"/>
              <w:gridCol w:w="1998"/>
              <w:gridCol w:w="1998"/>
            </w:tblGrid>
            <w:tr w:rsidR="00406B64" w:rsidTr="00C01C00">
              <w:tc>
                <w:tcPr>
                  <w:tcW w:w="1998" w:type="dxa"/>
                </w:tcPr>
                <w:p w:rsidR="00406B64" w:rsidRPr="00DB1F76" w:rsidRDefault="00406B64" w:rsidP="002D58E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b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998" w:type="dxa"/>
                  <w:vAlign w:val="center"/>
                </w:tcPr>
                <w:p w:rsidR="00406B64" w:rsidRPr="00DB1F76" w:rsidRDefault="00406B64" w:rsidP="002D58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406B64" w:rsidRPr="00DB1F76" w:rsidRDefault="00406B64" w:rsidP="00842B3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98" w:type="dxa"/>
                  <w:vAlign w:val="center"/>
                </w:tcPr>
                <w:p w:rsidR="00406B64" w:rsidRPr="00DB1F76" w:rsidRDefault="00406B64" w:rsidP="002D58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406B64" w:rsidRPr="00DB1F76" w:rsidRDefault="00406B64" w:rsidP="00842B3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2026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98" w:type="dxa"/>
                </w:tcPr>
                <w:p w:rsidR="00406B64" w:rsidRPr="00196D0A" w:rsidRDefault="00406B64" w:rsidP="00652A14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998" w:type="dxa"/>
                </w:tcPr>
                <w:p w:rsidR="00406B64" w:rsidRPr="00196D0A" w:rsidRDefault="00406B64" w:rsidP="00652A14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I.Izmjene</w:t>
                  </w:r>
                  <w:proofErr w:type="spellEnd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i dopune za 2026.</w:t>
                  </w:r>
                </w:p>
              </w:tc>
            </w:tr>
            <w:tr w:rsidR="00842B35" w:rsidTr="002D58E1">
              <w:tc>
                <w:tcPr>
                  <w:tcW w:w="1998" w:type="dxa"/>
                </w:tcPr>
                <w:p w:rsidR="00842B35" w:rsidRDefault="00F0396F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Ostalo (vlastiti i ostali prihodi)</w:t>
                  </w:r>
                  <w:bookmarkStart w:id="0" w:name="_GoBack"/>
                  <w:bookmarkEnd w:id="0"/>
                </w:p>
                <w:p w:rsidR="00842B35" w:rsidRPr="00DB1F76" w:rsidRDefault="00842B35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842B35" w:rsidRPr="00DB1F76" w:rsidRDefault="00842B35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4.207.632,15</w:t>
                  </w:r>
                </w:p>
              </w:tc>
              <w:tc>
                <w:tcPr>
                  <w:tcW w:w="1998" w:type="dxa"/>
                </w:tcPr>
                <w:p w:rsidR="00842B35" w:rsidRPr="00DB1F76" w:rsidRDefault="00842B35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4.328.321,60</w:t>
                  </w:r>
                </w:p>
              </w:tc>
              <w:tc>
                <w:tcPr>
                  <w:tcW w:w="1998" w:type="dxa"/>
                </w:tcPr>
                <w:p w:rsidR="00842B35" w:rsidRPr="00DB1F76" w:rsidRDefault="00406B64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138.245,61</w:t>
                  </w:r>
                </w:p>
              </w:tc>
              <w:tc>
                <w:tcPr>
                  <w:tcW w:w="1998" w:type="dxa"/>
                </w:tcPr>
                <w:p w:rsidR="00842B35" w:rsidRPr="00DB1F76" w:rsidRDefault="00406B64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4.466.567,21</w:t>
                  </w:r>
                </w:p>
              </w:tc>
            </w:tr>
          </w:tbl>
          <w:p w:rsidR="00842B35" w:rsidRDefault="00842B35" w:rsidP="00842B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42B35" w:rsidRDefault="0074162C" w:rsidP="00842B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Izmjenama je p</w:t>
            </w:r>
            <w:r w:rsidR="00842B35">
              <w:rPr>
                <w:rFonts w:ascii="Calibri" w:hAnsi="Calibri" w:cs="Calibri"/>
                <w:sz w:val="20"/>
                <w:szCs w:val="20"/>
              </w:rPr>
              <w:t>lanirano je povećanje potrebnih sredstava iz aktivnosti OSTALO (izvor financiranja vlastiti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ostali prihodi) zbog ostvarene zalihe neutrošenih cjepiva iz 2025. godine koja se planiraju utrošiti u 2026. godini.</w:t>
            </w:r>
          </w:p>
          <w:p w:rsidR="008A469A" w:rsidRPr="00196D0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28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</w:tblGrid>
            <w:tr w:rsidR="00376114" w:rsidRPr="00065DDC" w:rsidTr="002D58E1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114" w:rsidRPr="00065DDC" w:rsidRDefault="00F96D92" w:rsidP="00F96D9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KLASA: 400-04</w:t>
                  </w:r>
                  <w:r w:rsidR="00376114" w:rsidRPr="00065DDC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/2</w:t>
                  </w: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6-04</w:t>
                  </w:r>
                  <w:r w:rsidR="00376114" w:rsidRPr="00065DDC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/1</w:t>
                  </w:r>
                </w:p>
              </w:tc>
            </w:tr>
            <w:tr w:rsidR="00376114" w:rsidRPr="00065DDC" w:rsidTr="002D58E1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114" w:rsidRDefault="00376114" w:rsidP="00F96D9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URBROJ: 2109-70-03-2</w:t>
                  </w:r>
                  <w:r w:rsidR="000668B5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6/4</w:t>
                  </w:r>
                </w:p>
                <w:p w:rsidR="00F96D92" w:rsidRPr="00065DDC" w:rsidRDefault="00F96D92" w:rsidP="00F96D9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76114" w:rsidRPr="00065DDC" w:rsidTr="002D58E1">
              <w:trPr>
                <w:trHeight w:val="7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114" w:rsidRDefault="00376114" w:rsidP="00FA21B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065DDC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Čakovec,</w:t>
                  </w:r>
                  <w:r w:rsidR="00FA21B9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</w:t>
                  </w:r>
                  <w:r w:rsidR="004153E0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5</w:t>
                  </w:r>
                  <w:r w:rsidRPr="00065DDC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</w:t>
                  </w:r>
                  <w:r w:rsidR="00FA21B9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06</w:t>
                  </w:r>
                  <w:r w:rsidRPr="00065DDC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.202</w:t>
                  </w:r>
                  <w:r w:rsidR="00FA21B9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6</w:t>
                  </w:r>
                  <w:r w:rsidRPr="00065DDC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</w:t>
                  </w:r>
                </w:p>
                <w:p w:rsidR="00FA21B9" w:rsidRDefault="00FA21B9" w:rsidP="00FA21B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26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20"/>
                  </w:tblGrid>
                  <w:tr w:rsidR="00FA21B9" w:rsidRPr="00FA21B9" w:rsidTr="00F96D92">
                    <w:trPr>
                      <w:trHeight w:val="300"/>
                    </w:trPr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FA21B9" w:rsidRPr="00FA21B9" w:rsidRDefault="00FA21B9" w:rsidP="00FA21B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  <w:tr w:rsidR="00FA21B9" w:rsidRPr="00FA21B9" w:rsidTr="00F96D92">
                    <w:trPr>
                      <w:trHeight w:val="300"/>
                    </w:trPr>
                    <w:tc>
                      <w:tcPr>
                        <w:tcW w:w="2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FA21B9" w:rsidRPr="00FA21B9" w:rsidRDefault="00FA21B9" w:rsidP="00FA21B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:rsidR="00FA21B9" w:rsidRPr="00065DDC" w:rsidRDefault="00FA21B9" w:rsidP="00FA21B9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76114" w:rsidRDefault="00376114" w:rsidP="00376114">
            <w:pPr>
              <w:rPr>
                <w:rFonts w:cs="Calibri"/>
                <w:sz w:val="20"/>
                <w:szCs w:val="20"/>
              </w:rPr>
            </w:pPr>
          </w:p>
          <w:p w:rsidR="00376114" w:rsidRPr="00065DDC" w:rsidRDefault="00376114" w:rsidP="00376114">
            <w:pPr>
              <w:spacing w:after="0" w:line="240" w:lineRule="auto"/>
              <w:ind w:left="184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                                  </w:t>
            </w:r>
            <w:r w:rsidRPr="00065DDC">
              <w:rPr>
                <w:rFonts w:cs="Calibri"/>
                <w:color w:val="000000"/>
                <w:sz w:val="20"/>
                <w:szCs w:val="20"/>
              </w:rPr>
              <w:t>Predsjednik Upravnog vijeća</w:t>
            </w:r>
          </w:p>
          <w:p w:rsidR="00376114" w:rsidRPr="00065DDC" w:rsidRDefault="00376114" w:rsidP="00376114">
            <w:pPr>
              <w:spacing w:after="0" w:line="240" w:lineRule="auto"/>
              <w:ind w:left="184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5DDC"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               ZZJZ Međimurske županije</w:t>
            </w:r>
          </w:p>
          <w:p w:rsidR="00376114" w:rsidRPr="00065DDC" w:rsidRDefault="00376114" w:rsidP="00376114">
            <w:pPr>
              <w:spacing w:after="0" w:line="240" w:lineRule="auto"/>
              <w:ind w:left="1843" w:firstLine="72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5DDC"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</w:t>
            </w:r>
            <w:proofErr w:type="spellStart"/>
            <w:r w:rsidRPr="00065DDC">
              <w:rPr>
                <w:rFonts w:cs="Calibri"/>
                <w:color w:val="000000"/>
                <w:sz w:val="20"/>
                <w:szCs w:val="20"/>
              </w:rPr>
              <w:t>Dr.sc</w:t>
            </w:r>
            <w:proofErr w:type="spellEnd"/>
            <w:r w:rsidRPr="00065DDC">
              <w:rPr>
                <w:rFonts w:cs="Calibri"/>
                <w:color w:val="000000"/>
                <w:sz w:val="20"/>
                <w:szCs w:val="20"/>
              </w:rPr>
              <w:t>. Predrag Kočila, dr.vet.med.,</w:t>
            </w:r>
          </w:p>
          <w:p w:rsidR="00376114" w:rsidRPr="00065DDC" w:rsidRDefault="00376114" w:rsidP="00376114">
            <w:pPr>
              <w:spacing w:after="0" w:line="240" w:lineRule="auto"/>
              <w:ind w:left="1843" w:firstLine="72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5DDC"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viši znanstveni suradnik</w:t>
            </w:r>
          </w:p>
          <w:p w:rsidR="00376114" w:rsidRPr="008A178C" w:rsidRDefault="00376114" w:rsidP="00376114">
            <w:pPr>
              <w:rPr>
                <w:rFonts w:cs="Calibri"/>
                <w:sz w:val="20"/>
                <w:szCs w:val="20"/>
              </w:rPr>
            </w:pPr>
          </w:p>
          <w:p w:rsidR="00F566CD" w:rsidRPr="00481039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</w:rPr>
            </w:pPr>
          </w:p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 w:rsidR="00376114">
              <w:rPr>
                <w:rFonts w:ascii="Calibri" w:hAnsi="Calibri" w:cs="Calibri"/>
                <w:lang w:eastAsia="en-US"/>
              </w:rPr>
              <w:t xml:space="preserve"> </w:t>
            </w:r>
          </w:p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</w:p>
          <w:p w:rsidR="00F566CD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085AED" w:rsidRPr="00196D0A" w:rsidRDefault="00085AED" w:rsidP="00085AED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341CF" w:rsidRPr="00196D0A" w:rsidRDefault="000341CF" w:rsidP="00451AC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</w:tc>
      </w:tr>
    </w:tbl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 w:rsidP="00F566CD">
      <w:pPr>
        <w:jc w:val="both"/>
        <w:rPr>
          <w:rFonts w:ascii="Calibri" w:hAnsi="Calibri" w:cs="Calibri"/>
          <w:lang w:eastAsia="en-US"/>
        </w:rPr>
      </w:pP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sectPr w:rsidR="00EA04B8" w:rsidRPr="00196D0A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B2" w:rsidRDefault="00E007B2" w:rsidP="00277E5E">
      <w:pPr>
        <w:spacing w:after="0" w:line="240" w:lineRule="auto"/>
      </w:pPr>
      <w:r>
        <w:separator/>
      </w:r>
    </w:p>
  </w:endnote>
  <w:endnote w:type="continuationSeparator" w:id="0">
    <w:p w:rsidR="00E007B2" w:rsidRDefault="00E007B2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B2" w:rsidRDefault="00E007B2" w:rsidP="00277E5E">
      <w:pPr>
        <w:spacing w:after="0" w:line="240" w:lineRule="auto"/>
      </w:pPr>
      <w:r>
        <w:separator/>
      </w:r>
    </w:p>
  </w:footnote>
  <w:footnote w:type="continuationSeparator" w:id="0">
    <w:p w:rsidR="00E007B2" w:rsidRDefault="00E007B2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B1" w:rsidRDefault="004F59B1" w:rsidP="00277E5E">
    <w:pPr>
      <w:pStyle w:val="Zaglavlje"/>
      <w:jc w:val="right"/>
    </w:pPr>
    <w:r>
      <w:t>Obrazloženje-</w:t>
    </w:r>
    <w:proofErr w:type="spellStart"/>
    <w:r>
      <w:t>pror.korisnik</w:t>
    </w:r>
    <w:proofErr w:type="spellEnd"/>
  </w:p>
  <w:p w:rsidR="004F59B1" w:rsidRDefault="004F59B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16CF5"/>
    <w:multiLevelType w:val="hybridMultilevel"/>
    <w:tmpl w:val="A23437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E67C2"/>
    <w:multiLevelType w:val="hybridMultilevel"/>
    <w:tmpl w:val="88EAE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4182"/>
    <w:rsid w:val="00005846"/>
    <w:rsid w:val="000215D7"/>
    <w:rsid w:val="000341CF"/>
    <w:rsid w:val="00035FE8"/>
    <w:rsid w:val="00061F60"/>
    <w:rsid w:val="000668B5"/>
    <w:rsid w:val="00081C3D"/>
    <w:rsid w:val="0008459A"/>
    <w:rsid w:val="00085AED"/>
    <w:rsid w:val="00086E31"/>
    <w:rsid w:val="000A1925"/>
    <w:rsid w:val="000B4AFB"/>
    <w:rsid w:val="000C6247"/>
    <w:rsid w:val="000D5BC6"/>
    <w:rsid w:val="001171CD"/>
    <w:rsid w:val="0013587C"/>
    <w:rsid w:val="00140991"/>
    <w:rsid w:val="001663BA"/>
    <w:rsid w:val="00175235"/>
    <w:rsid w:val="00187AAB"/>
    <w:rsid w:val="00196D0A"/>
    <w:rsid w:val="001A351A"/>
    <w:rsid w:val="001A3861"/>
    <w:rsid w:val="001B12C3"/>
    <w:rsid w:val="001B4800"/>
    <w:rsid w:val="001D72E2"/>
    <w:rsid w:val="001E398B"/>
    <w:rsid w:val="00205C62"/>
    <w:rsid w:val="0021208D"/>
    <w:rsid w:val="00223A23"/>
    <w:rsid w:val="00224DD9"/>
    <w:rsid w:val="00253DF2"/>
    <w:rsid w:val="00254FD1"/>
    <w:rsid w:val="00257761"/>
    <w:rsid w:val="00277E5E"/>
    <w:rsid w:val="002908D9"/>
    <w:rsid w:val="00294F36"/>
    <w:rsid w:val="002A33D5"/>
    <w:rsid w:val="002C5EC0"/>
    <w:rsid w:val="002F7429"/>
    <w:rsid w:val="00314658"/>
    <w:rsid w:val="00321C76"/>
    <w:rsid w:val="00334BF5"/>
    <w:rsid w:val="00335C7A"/>
    <w:rsid w:val="003524AD"/>
    <w:rsid w:val="00360259"/>
    <w:rsid w:val="00362AFF"/>
    <w:rsid w:val="00372035"/>
    <w:rsid w:val="003743BF"/>
    <w:rsid w:val="00376114"/>
    <w:rsid w:val="003B6516"/>
    <w:rsid w:val="003C014F"/>
    <w:rsid w:val="003C46AB"/>
    <w:rsid w:val="003D3D05"/>
    <w:rsid w:val="003D5F2B"/>
    <w:rsid w:val="003E0D51"/>
    <w:rsid w:val="003E2788"/>
    <w:rsid w:val="003E2D5C"/>
    <w:rsid w:val="003E501E"/>
    <w:rsid w:val="003E77C2"/>
    <w:rsid w:val="003F160D"/>
    <w:rsid w:val="003F6177"/>
    <w:rsid w:val="00406B64"/>
    <w:rsid w:val="004153E0"/>
    <w:rsid w:val="00434AAF"/>
    <w:rsid w:val="00436FFB"/>
    <w:rsid w:val="00444589"/>
    <w:rsid w:val="00451ACC"/>
    <w:rsid w:val="004565B3"/>
    <w:rsid w:val="00465C22"/>
    <w:rsid w:val="00465DE4"/>
    <w:rsid w:val="004661CD"/>
    <w:rsid w:val="00481039"/>
    <w:rsid w:val="00481E5F"/>
    <w:rsid w:val="00495878"/>
    <w:rsid w:val="00496FF1"/>
    <w:rsid w:val="004D03D7"/>
    <w:rsid w:val="004D7E2D"/>
    <w:rsid w:val="004E7E1E"/>
    <w:rsid w:val="004F59B1"/>
    <w:rsid w:val="004F6686"/>
    <w:rsid w:val="005227F1"/>
    <w:rsid w:val="005308B7"/>
    <w:rsid w:val="005310FF"/>
    <w:rsid w:val="00557376"/>
    <w:rsid w:val="005658FA"/>
    <w:rsid w:val="0056597A"/>
    <w:rsid w:val="0057115E"/>
    <w:rsid w:val="005A443A"/>
    <w:rsid w:val="005B01AB"/>
    <w:rsid w:val="005B0665"/>
    <w:rsid w:val="005C3BC3"/>
    <w:rsid w:val="005E3EFB"/>
    <w:rsid w:val="006052E3"/>
    <w:rsid w:val="00613650"/>
    <w:rsid w:val="0062335B"/>
    <w:rsid w:val="006256F4"/>
    <w:rsid w:val="0063253E"/>
    <w:rsid w:val="0063388D"/>
    <w:rsid w:val="00655AFD"/>
    <w:rsid w:val="00660E7B"/>
    <w:rsid w:val="00667E4F"/>
    <w:rsid w:val="006B5CCE"/>
    <w:rsid w:val="006B7B69"/>
    <w:rsid w:val="0074162C"/>
    <w:rsid w:val="007508E0"/>
    <w:rsid w:val="00766F14"/>
    <w:rsid w:val="00791821"/>
    <w:rsid w:val="00797DB8"/>
    <w:rsid w:val="007A07AC"/>
    <w:rsid w:val="007B10BE"/>
    <w:rsid w:val="007B112B"/>
    <w:rsid w:val="007D65ED"/>
    <w:rsid w:val="007F0985"/>
    <w:rsid w:val="007F6BE2"/>
    <w:rsid w:val="007F725E"/>
    <w:rsid w:val="00801FD4"/>
    <w:rsid w:val="00842B35"/>
    <w:rsid w:val="008442B2"/>
    <w:rsid w:val="0085376A"/>
    <w:rsid w:val="00876D4C"/>
    <w:rsid w:val="00884AE1"/>
    <w:rsid w:val="00884CA4"/>
    <w:rsid w:val="008A469A"/>
    <w:rsid w:val="008C10C4"/>
    <w:rsid w:val="008C6519"/>
    <w:rsid w:val="008C7CA0"/>
    <w:rsid w:val="008E1211"/>
    <w:rsid w:val="008F2FFF"/>
    <w:rsid w:val="00922581"/>
    <w:rsid w:val="00930212"/>
    <w:rsid w:val="00937600"/>
    <w:rsid w:val="0094009E"/>
    <w:rsid w:val="0097531E"/>
    <w:rsid w:val="0097639B"/>
    <w:rsid w:val="0098689C"/>
    <w:rsid w:val="00991723"/>
    <w:rsid w:val="009D56FB"/>
    <w:rsid w:val="009E7DDE"/>
    <w:rsid w:val="009F33B8"/>
    <w:rsid w:val="009F36BF"/>
    <w:rsid w:val="00A0673E"/>
    <w:rsid w:val="00A12D2E"/>
    <w:rsid w:val="00A445E2"/>
    <w:rsid w:val="00A4709C"/>
    <w:rsid w:val="00A647F9"/>
    <w:rsid w:val="00A83F80"/>
    <w:rsid w:val="00A8606D"/>
    <w:rsid w:val="00A906BF"/>
    <w:rsid w:val="00A91339"/>
    <w:rsid w:val="00AA430D"/>
    <w:rsid w:val="00AA64C5"/>
    <w:rsid w:val="00AB6832"/>
    <w:rsid w:val="00AC113D"/>
    <w:rsid w:val="00AD15F3"/>
    <w:rsid w:val="00AD5143"/>
    <w:rsid w:val="00B02815"/>
    <w:rsid w:val="00B05181"/>
    <w:rsid w:val="00B1609F"/>
    <w:rsid w:val="00B174E2"/>
    <w:rsid w:val="00B278F4"/>
    <w:rsid w:val="00B6763F"/>
    <w:rsid w:val="00B93BBE"/>
    <w:rsid w:val="00BA27E3"/>
    <w:rsid w:val="00BB12DE"/>
    <w:rsid w:val="00BC55FD"/>
    <w:rsid w:val="00BE05EE"/>
    <w:rsid w:val="00BF1063"/>
    <w:rsid w:val="00BF4FD0"/>
    <w:rsid w:val="00BF6085"/>
    <w:rsid w:val="00C0791B"/>
    <w:rsid w:val="00C107C8"/>
    <w:rsid w:val="00C20F3F"/>
    <w:rsid w:val="00C71593"/>
    <w:rsid w:val="00C800A9"/>
    <w:rsid w:val="00C83DD2"/>
    <w:rsid w:val="00C90B14"/>
    <w:rsid w:val="00C959F8"/>
    <w:rsid w:val="00CA25A8"/>
    <w:rsid w:val="00CB11B4"/>
    <w:rsid w:val="00CD68DB"/>
    <w:rsid w:val="00D239B7"/>
    <w:rsid w:val="00D34235"/>
    <w:rsid w:val="00D54847"/>
    <w:rsid w:val="00D67106"/>
    <w:rsid w:val="00D7062E"/>
    <w:rsid w:val="00D738A5"/>
    <w:rsid w:val="00DA487B"/>
    <w:rsid w:val="00DA4A06"/>
    <w:rsid w:val="00DB1F76"/>
    <w:rsid w:val="00DC3656"/>
    <w:rsid w:val="00DC69A2"/>
    <w:rsid w:val="00E007B2"/>
    <w:rsid w:val="00E036C3"/>
    <w:rsid w:val="00E10491"/>
    <w:rsid w:val="00E1371E"/>
    <w:rsid w:val="00E61555"/>
    <w:rsid w:val="00E70BF4"/>
    <w:rsid w:val="00E723D0"/>
    <w:rsid w:val="00E813E7"/>
    <w:rsid w:val="00EA04B8"/>
    <w:rsid w:val="00EB5E0E"/>
    <w:rsid w:val="00EC71DC"/>
    <w:rsid w:val="00EC78F4"/>
    <w:rsid w:val="00EE14C1"/>
    <w:rsid w:val="00EE4D92"/>
    <w:rsid w:val="00EE50EC"/>
    <w:rsid w:val="00F03268"/>
    <w:rsid w:val="00F0396F"/>
    <w:rsid w:val="00F13CE6"/>
    <w:rsid w:val="00F15425"/>
    <w:rsid w:val="00F566CD"/>
    <w:rsid w:val="00F661C1"/>
    <w:rsid w:val="00F72D2E"/>
    <w:rsid w:val="00F72F50"/>
    <w:rsid w:val="00F90D0D"/>
    <w:rsid w:val="00F92D0A"/>
    <w:rsid w:val="00F96D92"/>
    <w:rsid w:val="00FA21B9"/>
    <w:rsid w:val="00FA5A91"/>
    <w:rsid w:val="00FB298D"/>
    <w:rsid w:val="00FB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9AB8-FF05-4DDA-9766-0B5E44D6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2648</Words>
  <Characters>15096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71</cp:revision>
  <cp:lastPrinted>2026-06-24T07:47:00Z</cp:lastPrinted>
  <dcterms:created xsi:type="dcterms:W3CDTF">2022-10-27T17:41:00Z</dcterms:created>
  <dcterms:modified xsi:type="dcterms:W3CDTF">2026-06-24T12:11:00Z</dcterms:modified>
</cp:coreProperties>
</file>