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BE2C99">
        <w:tblPrEx>
          <w:tblCellMar>
            <w:top w:w="0" w:type="dxa"/>
            <w:bottom w:w="0" w:type="dxa"/>
          </w:tblCellMar>
        </w:tblPrEx>
        <w:trPr>
          <w:tblCellSpacing w:w="60" w:type="dxa"/>
        </w:trPr>
        <w:tc>
          <w:tcPr>
            <w:tcW w:w="1200" w:type="pct"/>
            <w:shd w:val="clear" w:color="auto" w:fill="E7F0F9"/>
          </w:tcPr>
          <w:p w:rsidR="00BE2C99" w:rsidRDefault="005B7AC4">
            <w:pPr>
              <w:spacing w:after="0" w:line="240" w:lineRule="auto"/>
            </w:pPr>
            <w:bookmarkStart w:id="0" w:name="_GoBack"/>
            <w:bookmarkEnd w:id="0"/>
            <w:r>
              <w:rPr>
                <w:b/>
              </w:rPr>
              <w:t>RKP broj</w:t>
            </w:r>
          </w:p>
        </w:tc>
        <w:tc>
          <w:tcPr>
            <w:tcW w:w="0" w:type="auto"/>
            <w:shd w:val="clear" w:color="auto" w:fill="E7F0F9"/>
          </w:tcPr>
          <w:p w:rsidR="00BE2C99" w:rsidRDefault="005B7AC4">
            <w:pPr>
              <w:spacing w:after="0" w:line="240" w:lineRule="auto"/>
            </w:pPr>
            <w:r>
              <w:t>32465</w:t>
            </w:r>
          </w:p>
        </w:tc>
      </w:tr>
      <w:tr w:rsidR="00BE2C99">
        <w:tblPrEx>
          <w:tblCellMar>
            <w:top w:w="0" w:type="dxa"/>
            <w:bottom w:w="0" w:type="dxa"/>
          </w:tblCellMar>
        </w:tblPrEx>
        <w:trPr>
          <w:tblCellSpacing w:w="60" w:type="dxa"/>
        </w:trPr>
        <w:tc>
          <w:tcPr>
            <w:tcW w:w="1200" w:type="pct"/>
            <w:shd w:val="clear" w:color="auto" w:fill="E7F0F9"/>
          </w:tcPr>
          <w:p w:rsidR="00BE2C99" w:rsidRDefault="005B7AC4">
            <w:pPr>
              <w:spacing w:after="0" w:line="240" w:lineRule="auto"/>
            </w:pPr>
            <w:r>
              <w:rPr>
                <w:b/>
              </w:rPr>
              <w:t>Naziv obveznika</w:t>
            </w:r>
          </w:p>
        </w:tc>
        <w:tc>
          <w:tcPr>
            <w:tcW w:w="0" w:type="auto"/>
            <w:shd w:val="clear" w:color="auto" w:fill="E7F0F9"/>
          </w:tcPr>
          <w:p w:rsidR="00BE2C99" w:rsidRDefault="005B7AC4">
            <w:pPr>
              <w:spacing w:after="0" w:line="240" w:lineRule="auto"/>
            </w:pPr>
            <w:r>
              <w:t>ZAVOD ZA JAVNO ZDRAVSTVO MEĐIMURSKE ŽUPANIJE</w:t>
            </w:r>
          </w:p>
        </w:tc>
      </w:tr>
      <w:tr w:rsidR="00BE2C99">
        <w:tblPrEx>
          <w:tblCellMar>
            <w:top w:w="0" w:type="dxa"/>
            <w:bottom w:w="0" w:type="dxa"/>
          </w:tblCellMar>
        </w:tblPrEx>
        <w:trPr>
          <w:tblCellSpacing w:w="60" w:type="dxa"/>
        </w:trPr>
        <w:tc>
          <w:tcPr>
            <w:tcW w:w="1200" w:type="pct"/>
            <w:shd w:val="clear" w:color="auto" w:fill="E7F0F9"/>
          </w:tcPr>
          <w:p w:rsidR="00BE2C99" w:rsidRDefault="005B7AC4">
            <w:pPr>
              <w:spacing w:after="0" w:line="240" w:lineRule="auto"/>
            </w:pPr>
            <w:r>
              <w:rPr>
                <w:b/>
              </w:rPr>
              <w:t>Razina</w:t>
            </w:r>
          </w:p>
        </w:tc>
        <w:tc>
          <w:tcPr>
            <w:tcW w:w="0" w:type="auto"/>
            <w:shd w:val="clear" w:color="auto" w:fill="E7F0F9"/>
          </w:tcPr>
          <w:p w:rsidR="00BE2C99" w:rsidRDefault="005B7AC4">
            <w:pPr>
              <w:spacing w:after="0" w:line="240" w:lineRule="auto"/>
            </w:pPr>
            <w:r>
              <w:t>31</w:t>
            </w:r>
          </w:p>
        </w:tc>
      </w:tr>
    </w:tbl>
    <w:p w:rsidR="00BE2C99" w:rsidRDefault="005B7AC4">
      <w:r>
        <w:br/>
      </w:r>
    </w:p>
    <w:p w:rsidR="00BE2C99" w:rsidRDefault="005B7AC4">
      <w:pPr>
        <w:spacing w:line="240" w:lineRule="auto"/>
        <w:jc w:val="center"/>
      </w:pPr>
      <w:r>
        <w:rPr>
          <w:b/>
          <w:sz w:val="28"/>
        </w:rPr>
        <w:t>BILJEŠKE UZ FINANCIJSKE IZVJEŠTAJE</w:t>
      </w:r>
    </w:p>
    <w:p w:rsidR="00BE2C99" w:rsidRDefault="005B7AC4">
      <w:pPr>
        <w:spacing w:line="240" w:lineRule="auto"/>
        <w:jc w:val="center"/>
      </w:pPr>
      <w:r>
        <w:rPr>
          <w:b/>
          <w:sz w:val="28"/>
        </w:rPr>
        <w:t>ZA RAZDOBLJE</w:t>
      </w:r>
    </w:p>
    <w:p w:rsidR="00BE2C99" w:rsidRDefault="005B7AC4">
      <w:pPr>
        <w:spacing w:line="240" w:lineRule="auto"/>
        <w:jc w:val="center"/>
      </w:pPr>
      <w:r>
        <w:rPr>
          <w:b/>
          <w:sz w:val="28"/>
        </w:rPr>
        <w:t>I - XII 2025.</w:t>
      </w:r>
    </w:p>
    <w:p w:rsidR="00BE2C99" w:rsidRDefault="00BE2C99"/>
    <w:p w:rsidR="00BE2C99" w:rsidRDefault="005B7AC4">
      <w:pPr>
        <w:keepNext/>
        <w:spacing w:line="240" w:lineRule="auto"/>
        <w:jc w:val="center"/>
      </w:pPr>
      <w:r>
        <w:rPr>
          <w:b/>
          <w:sz w:val="28"/>
        </w:rPr>
        <w:t>Izvještaj o prihodima i rashodima, primicima i izdacima</w:t>
      </w:r>
    </w:p>
    <w:p w:rsidR="00BE2C99" w:rsidRDefault="005B7AC4">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5B7AC4">
            <w:pPr>
              <w:keepNext/>
              <w:keepLines/>
              <w:spacing w:after="0" w:line="240" w:lineRule="auto"/>
            </w:pPr>
            <w:r>
              <w:rPr>
                <w:sz w:val="18"/>
              </w:rPr>
              <w:t>6</w:t>
            </w:r>
          </w:p>
        </w:tc>
        <w:tc>
          <w:tcPr>
            <w:tcW w:w="3180" w:type="dxa"/>
            <w:tcMar>
              <w:top w:w="0" w:type="dxa"/>
              <w:bottom w:w="0" w:type="dxa"/>
            </w:tcMar>
            <w:vAlign w:val="center"/>
          </w:tcPr>
          <w:p w:rsidR="00BE2C99" w:rsidRDefault="005B7AC4">
            <w:pPr>
              <w:keepNext/>
              <w:keepLines/>
              <w:spacing w:after="0" w:line="240" w:lineRule="auto"/>
            </w:pPr>
            <w:r>
              <w:rPr>
                <w:sz w:val="18"/>
              </w:rPr>
              <w:t>PRIHODI POSLOVANJA (šifre 61+62+63+64+65+66+67+68)</w:t>
            </w:r>
          </w:p>
        </w:tc>
        <w:tc>
          <w:tcPr>
            <w:tcW w:w="700" w:type="dxa"/>
            <w:tcMar>
              <w:top w:w="0" w:type="dxa"/>
              <w:bottom w:w="0" w:type="dxa"/>
            </w:tcMar>
            <w:vAlign w:val="center"/>
          </w:tcPr>
          <w:p w:rsidR="00BE2C99" w:rsidRDefault="005B7AC4">
            <w:pPr>
              <w:keepNext/>
              <w:keepLines/>
              <w:spacing w:after="0" w:line="240" w:lineRule="auto"/>
            </w:pPr>
            <w:r>
              <w:rPr>
                <w:sz w:val="18"/>
              </w:rPr>
              <w:t>6</w:t>
            </w:r>
          </w:p>
        </w:tc>
        <w:tc>
          <w:tcPr>
            <w:tcW w:w="1860" w:type="dxa"/>
            <w:tcMar>
              <w:top w:w="0" w:type="dxa"/>
              <w:bottom w:w="0" w:type="dxa"/>
            </w:tcMar>
            <w:vAlign w:val="center"/>
          </w:tcPr>
          <w:p w:rsidR="00BE2C99" w:rsidRDefault="005B7AC4">
            <w:pPr>
              <w:keepNext/>
              <w:keepLines/>
              <w:spacing w:after="0" w:line="240" w:lineRule="auto"/>
              <w:jc w:val="right"/>
            </w:pPr>
            <w:r>
              <w:rPr>
                <w:sz w:val="18"/>
              </w:rPr>
              <w:t>3.414.418,75</w:t>
            </w:r>
          </w:p>
        </w:tc>
        <w:tc>
          <w:tcPr>
            <w:tcW w:w="1860" w:type="dxa"/>
            <w:tcMar>
              <w:top w:w="0" w:type="dxa"/>
              <w:bottom w:w="0" w:type="dxa"/>
            </w:tcMar>
            <w:vAlign w:val="center"/>
          </w:tcPr>
          <w:p w:rsidR="00BE2C99" w:rsidRDefault="005B7AC4">
            <w:pPr>
              <w:keepNext/>
              <w:keepLines/>
              <w:spacing w:after="0" w:line="240" w:lineRule="auto"/>
              <w:jc w:val="right"/>
            </w:pPr>
            <w:r>
              <w:rPr>
                <w:sz w:val="18"/>
              </w:rPr>
              <w:t>4.172.489,14</w:t>
            </w:r>
          </w:p>
        </w:tc>
        <w:tc>
          <w:tcPr>
            <w:tcW w:w="700" w:type="dxa"/>
            <w:tcMar>
              <w:top w:w="0" w:type="dxa"/>
              <w:bottom w:w="0" w:type="dxa"/>
            </w:tcMar>
            <w:vAlign w:val="center"/>
          </w:tcPr>
          <w:p w:rsidR="00BE2C99" w:rsidRDefault="005B7AC4">
            <w:pPr>
              <w:keepNext/>
              <w:keepLines/>
              <w:spacing w:after="0" w:line="240" w:lineRule="auto"/>
              <w:jc w:val="right"/>
            </w:pPr>
            <w:r>
              <w:rPr>
                <w:sz w:val="18"/>
              </w:rPr>
              <w:t>122,2</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5B7AC4">
            <w:pPr>
              <w:keepNext/>
              <w:keepLines/>
              <w:spacing w:after="0" w:line="240" w:lineRule="auto"/>
            </w:pPr>
            <w:r>
              <w:rPr>
                <w:sz w:val="18"/>
              </w:rPr>
              <w:t>3</w:t>
            </w:r>
          </w:p>
        </w:tc>
        <w:tc>
          <w:tcPr>
            <w:tcW w:w="3180" w:type="dxa"/>
            <w:tcMar>
              <w:top w:w="0" w:type="dxa"/>
              <w:bottom w:w="0" w:type="dxa"/>
            </w:tcMar>
            <w:vAlign w:val="center"/>
          </w:tcPr>
          <w:p w:rsidR="00BE2C99" w:rsidRDefault="005B7AC4">
            <w:pPr>
              <w:keepNext/>
              <w:keepLines/>
              <w:spacing w:after="0" w:line="240" w:lineRule="auto"/>
            </w:pPr>
            <w:r>
              <w:rPr>
                <w:sz w:val="18"/>
              </w:rPr>
              <w:t>RASHODI POSLOVANJA (šifre 31+32+34+35+36+37+38)</w:t>
            </w:r>
          </w:p>
        </w:tc>
        <w:tc>
          <w:tcPr>
            <w:tcW w:w="700" w:type="dxa"/>
            <w:tcMar>
              <w:top w:w="0" w:type="dxa"/>
              <w:bottom w:w="0" w:type="dxa"/>
            </w:tcMar>
            <w:vAlign w:val="center"/>
          </w:tcPr>
          <w:p w:rsidR="00BE2C99" w:rsidRDefault="005B7AC4">
            <w:pPr>
              <w:keepNext/>
              <w:keepLines/>
              <w:spacing w:after="0" w:line="240" w:lineRule="auto"/>
            </w:pPr>
            <w:r>
              <w:rPr>
                <w:sz w:val="18"/>
              </w:rPr>
              <w:t>3</w:t>
            </w:r>
          </w:p>
        </w:tc>
        <w:tc>
          <w:tcPr>
            <w:tcW w:w="1860" w:type="dxa"/>
            <w:tcMar>
              <w:top w:w="0" w:type="dxa"/>
              <w:bottom w:w="0" w:type="dxa"/>
            </w:tcMar>
            <w:vAlign w:val="center"/>
          </w:tcPr>
          <w:p w:rsidR="00BE2C99" w:rsidRDefault="005B7AC4">
            <w:pPr>
              <w:keepNext/>
              <w:keepLines/>
              <w:spacing w:after="0" w:line="240" w:lineRule="auto"/>
              <w:jc w:val="right"/>
            </w:pPr>
            <w:r>
              <w:rPr>
                <w:sz w:val="18"/>
              </w:rPr>
              <w:t>3.358.465,10</w:t>
            </w:r>
          </w:p>
        </w:tc>
        <w:tc>
          <w:tcPr>
            <w:tcW w:w="1860" w:type="dxa"/>
            <w:tcMar>
              <w:top w:w="0" w:type="dxa"/>
              <w:bottom w:w="0" w:type="dxa"/>
            </w:tcMar>
            <w:vAlign w:val="center"/>
          </w:tcPr>
          <w:p w:rsidR="00BE2C99" w:rsidRDefault="005B7AC4">
            <w:pPr>
              <w:keepNext/>
              <w:keepLines/>
              <w:spacing w:after="0" w:line="240" w:lineRule="auto"/>
              <w:jc w:val="right"/>
            </w:pPr>
            <w:r>
              <w:rPr>
                <w:sz w:val="18"/>
              </w:rPr>
              <w:t>4.118.195,29</w:t>
            </w:r>
          </w:p>
        </w:tc>
        <w:tc>
          <w:tcPr>
            <w:tcW w:w="700" w:type="dxa"/>
            <w:tcMar>
              <w:top w:w="0" w:type="dxa"/>
              <w:bottom w:w="0" w:type="dxa"/>
            </w:tcMar>
            <w:vAlign w:val="center"/>
          </w:tcPr>
          <w:p w:rsidR="00BE2C99" w:rsidRDefault="005B7AC4">
            <w:pPr>
              <w:keepNext/>
              <w:keepLines/>
              <w:spacing w:after="0" w:line="240" w:lineRule="auto"/>
              <w:jc w:val="right"/>
            </w:pPr>
            <w:r>
              <w:rPr>
                <w:sz w:val="18"/>
              </w:rPr>
              <w:t>122,6</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BE2C99">
            <w:pPr>
              <w:keepNext/>
              <w:keepLines/>
              <w:spacing w:after="0" w:line="240" w:lineRule="auto"/>
            </w:pPr>
          </w:p>
        </w:tc>
        <w:tc>
          <w:tcPr>
            <w:tcW w:w="3180" w:type="dxa"/>
            <w:tcMar>
              <w:top w:w="0" w:type="dxa"/>
              <w:bottom w:w="0" w:type="dxa"/>
            </w:tcMar>
            <w:vAlign w:val="center"/>
          </w:tcPr>
          <w:p w:rsidR="00BE2C99" w:rsidRDefault="005B7AC4">
            <w:pPr>
              <w:keepNext/>
              <w:keepLines/>
              <w:spacing w:after="0" w:line="240" w:lineRule="auto"/>
            </w:pPr>
            <w:r>
              <w:rPr>
                <w:b/>
                <w:sz w:val="18"/>
              </w:rPr>
              <w:t>VIŠAK PRIHODA POSLOVANJA (šifre 6-Z005)</w:t>
            </w:r>
          </w:p>
        </w:tc>
        <w:tc>
          <w:tcPr>
            <w:tcW w:w="700" w:type="dxa"/>
            <w:tcMar>
              <w:top w:w="0" w:type="dxa"/>
              <w:bottom w:w="0" w:type="dxa"/>
            </w:tcMar>
            <w:vAlign w:val="center"/>
          </w:tcPr>
          <w:p w:rsidR="00BE2C99" w:rsidRDefault="005B7AC4">
            <w:pPr>
              <w:keepNext/>
              <w:keepLines/>
              <w:spacing w:after="0" w:line="240" w:lineRule="auto"/>
            </w:pPr>
            <w:r>
              <w:rPr>
                <w:b/>
                <w:sz w:val="18"/>
              </w:rPr>
              <w:t>X001</w:t>
            </w:r>
          </w:p>
        </w:tc>
        <w:tc>
          <w:tcPr>
            <w:tcW w:w="1860" w:type="dxa"/>
            <w:tcMar>
              <w:top w:w="0" w:type="dxa"/>
              <w:bottom w:w="0" w:type="dxa"/>
            </w:tcMar>
            <w:vAlign w:val="center"/>
          </w:tcPr>
          <w:p w:rsidR="00BE2C99" w:rsidRDefault="005B7AC4">
            <w:pPr>
              <w:keepNext/>
              <w:keepLines/>
              <w:spacing w:after="0" w:line="240" w:lineRule="auto"/>
              <w:jc w:val="right"/>
            </w:pPr>
            <w:r>
              <w:rPr>
                <w:b/>
                <w:sz w:val="18"/>
              </w:rPr>
              <w:t>55.953,65</w:t>
            </w:r>
          </w:p>
        </w:tc>
        <w:tc>
          <w:tcPr>
            <w:tcW w:w="1860" w:type="dxa"/>
            <w:tcMar>
              <w:top w:w="0" w:type="dxa"/>
              <w:bottom w:w="0" w:type="dxa"/>
            </w:tcMar>
            <w:vAlign w:val="center"/>
          </w:tcPr>
          <w:p w:rsidR="00BE2C99" w:rsidRDefault="005B7AC4">
            <w:pPr>
              <w:keepNext/>
              <w:keepLines/>
              <w:spacing w:after="0" w:line="240" w:lineRule="auto"/>
              <w:jc w:val="right"/>
            </w:pPr>
            <w:r>
              <w:rPr>
                <w:b/>
                <w:sz w:val="18"/>
              </w:rPr>
              <w:t>54.293,85</w:t>
            </w:r>
          </w:p>
        </w:tc>
        <w:tc>
          <w:tcPr>
            <w:tcW w:w="700" w:type="dxa"/>
            <w:tcMar>
              <w:top w:w="0" w:type="dxa"/>
              <w:bottom w:w="0" w:type="dxa"/>
            </w:tcMar>
            <w:vAlign w:val="center"/>
          </w:tcPr>
          <w:p w:rsidR="00BE2C99" w:rsidRDefault="005B7AC4">
            <w:pPr>
              <w:keepNext/>
              <w:keepLines/>
              <w:spacing w:after="0" w:line="240" w:lineRule="auto"/>
              <w:jc w:val="right"/>
            </w:pPr>
            <w:r>
              <w:rPr>
                <w:b/>
                <w:sz w:val="18"/>
              </w:rPr>
              <w:t>97,0</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5B7AC4">
            <w:pPr>
              <w:keepNext/>
              <w:keepLines/>
              <w:spacing w:after="0" w:line="240" w:lineRule="auto"/>
            </w:pPr>
            <w:r>
              <w:rPr>
                <w:sz w:val="18"/>
              </w:rPr>
              <w:t>7</w:t>
            </w:r>
          </w:p>
        </w:tc>
        <w:tc>
          <w:tcPr>
            <w:tcW w:w="3180" w:type="dxa"/>
            <w:tcMar>
              <w:top w:w="0" w:type="dxa"/>
              <w:bottom w:w="0" w:type="dxa"/>
            </w:tcMar>
            <w:vAlign w:val="center"/>
          </w:tcPr>
          <w:p w:rsidR="00BE2C99" w:rsidRDefault="005B7AC4">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BE2C99" w:rsidRDefault="005B7AC4">
            <w:pPr>
              <w:keepNext/>
              <w:keepLines/>
              <w:spacing w:after="0" w:line="240" w:lineRule="auto"/>
            </w:pPr>
            <w:r>
              <w:rPr>
                <w:sz w:val="18"/>
              </w:rPr>
              <w:t>7</w:t>
            </w:r>
          </w:p>
        </w:tc>
        <w:tc>
          <w:tcPr>
            <w:tcW w:w="1860" w:type="dxa"/>
            <w:tcMar>
              <w:top w:w="0" w:type="dxa"/>
              <w:bottom w:w="0" w:type="dxa"/>
            </w:tcMar>
            <w:vAlign w:val="center"/>
          </w:tcPr>
          <w:p w:rsidR="00BE2C99" w:rsidRDefault="005B7AC4">
            <w:pPr>
              <w:keepNext/>
              <w:keepLines/>
              <w:spacing w:after="0" w:line="240" w:lineRule="auto"/>
              <w:jc w:val="right"/>
            </w:pPr>
            <w:r>
              <w:rPr>
                <w:sz w:val="18"/>
              </w:rPr>
              <w:t>72,28</w:t>
            </w:r>
          </w:p>
        </w:tc>
        <w:tc>
          <w:tcPr>
            <w:tcW w:w="1860" w:type="dxa"/>
            <w:tcMar>
              <w:top w:w="0" w:type="dxa"/>
              <w:bottom w:w="0" w:type="dxa"/>
            </w:tcMar>
            <w:vAlign w:val="center"/>
          </w:tcPr>
          <w:p w:rsidR="00BE2C99" w:rsidRDefault="005B7AC4">
            <w:pPr>
              <w:keepNext/>
              <w:keepLines/>
              <w:spacing w:after="0" w:line="240" w:lineRule="auto"/>
              <w:jc w:val="right"/>
            </w:pPr>
            <w:r>
              <w:rPr>
                <w:sz w:val="18"/>
              </w:rPr>
              <w:t>303,09</w:t>
            </w:r>
          </w:p>
        </w:tc>
        <w:tc>
          <w:tcPr>
            <w:tcW w:w="700" w:type="dxa"/>
            <w:tcMar>
              <w:top w:w="0" w:type="dxa"/>
              <w:bottom w:w="0" w:type="dxa"/>
            </w:tcMar>
            <w:vAlign w:val="center"/>
          </w:tcPr>
          <w:p w:rsidR="00BE2C99" w:rsidRDefault="005B7AC4">
            <w:pPr>
              <w:keepNext/>
              <w:keepLines/>
              <w:spacing w:after="0" w:line="240" w:lineRule="auto"/>
              <w:jc w:val="right"/>
            </w:pPr>
            <w:r>
              <w:rPr>
                <w:sz w:val="18"/>
              </w:rPr>
              <w:t>419,3</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5B7AC4">
            <w:pPr>
              <w:keepNext/>
              <w:keepLines/>
              <w:spacing w:after="0" w:line="240" w:lineRule="auto"/>
            </w:pPr>
            <w:r>
              <w:rPr>
                <w:sz w:val="18"/>
              </w:rPr>
              <w:t>4</w:t>
            </w:r>
          </w:p>
        </w:tc>
        <w:tc>
          <w:tcPr>
            <w:tcW w:w="3180" w:type="dxa"/>
            <w:tcMar>
              <w:top w:w="0" w:type="dxa"/>
              <w:bottom w:w="0" w:type="dxa"/>
            </w:tcMar>
            <w:vAlign w:val="center"/>
          </w:tcPr>
          <w:p w:rsidR="00BE2C99" w:rsidRDefault="005B7AC4">
            <w:pPr>
              <w:keepNext/>
              <w:keepLines/>
              <w:spacing w:after="0" w:line="240" w:lineRule="auto"/>
            </w:pPr>
            <w:r>
              <w:rPr>
                <w:sz w:val="18"/>
              </w:rPr>
              <w:t xml:space="preserve">Rashodi za nabavu nefinancijske imovine (šifre </w:t>
            </w:r>
            <w:r>
              <w:rPr>
                <w:sz w:val="18"/>
              </w:rPr>
              <w:t>41+42+43+44+45)</w:t>
            </w:r>
          </w:p>
        </w:tc>
        <w:tc>
          <w:tcPr>
            <w:tcW w:w="700" w:type="dxa"/>
            <w:tcMar>
              <w:top w:w="0" w:type="dxa"/>
              <w:bottom w:w="0" w:type="dxa"/>
            </w:tcMar>
            <w:vAlign w:val="center"/>
          </w:tcPr>
          <w:p w:rsidR="00BE2C99" w:rsidRDefault="005B7AC4">
            <w:pPr>
              <w:keepNext/>
              <w:keepLines/>
              <w:spacing w:after="0" w:line="240" w:lineRule="auto"/>
            </w:pPr>
            <w:r>
              <w:rPr>
                <w:sz w:val="18"/>
              </w:rPr>
              <w:t>4</w:t>
            </w:r>
          </w:p>
        </w:tc>
        <w:tc>
          <w:tcPr>
            <w:tcW w:w="1860" w:type="dxa"/>
            <w:tcMar>
              <w:top w:w="0" w:type="dxa"/>
              <w:bottom w:w="0" w:type="dxa"/>
            </w:tcMar>
            <w:vAlign w:val="center"/>
          </w:tcPr>
          <w:p w:rsidR="00BE2C99" w:rsidRDefault="005B7AC4">
            <w:pPr>
              <w:keepNext/>
              <w:keepLines/>
              <w:spacing w:after="0" w:line="240" w:lineRule="auto"/>
              <w:jc w:val="right"/>
            </w:pPr>
            <w:r>
              <w:rPr>
                <w:sz w:val="18"/>
              </w:rPr>
              <w:t>307.888,29</w:t>
            </w:r>
          </w:p>
        </w:tc>
        <w:tc>
          <w:tcPr>
            <w:tcW w:w="1860" w:type="dxa"/>
            <w:tcMar>
              <w:top w:w="0" w:type="dxa"/>
              <w:bottom w:w="0" w:type="dxa"/>
            </w:tcMar>
            <w:vAlign w:val="center"/>
          </w:tcPr>
          <w:p w:rsidR="00BE2C99" w:rsidRDefault="005B7AC4">
            <w:pPr>
              <w:keepNext/>
              <w:keepLines/>
              <w:spacing w:after="0" w:line="240" w:lineRule="auto"/>
              <w:jc w:val="right"/>
            </w:pPr>
            <w:r>
              <w:rPr>
                <w:sz w:val="18"/>
              </w:rPr>
              <w:t>138.601,71</w:t>
            </w:r>
          </w:p>
        </w:tc>
        <w:tc>
          <w:tcPr>
            <w:tcW w:w="700" w:type="dxa"/>
            <w:tcMar>
              <w:top w:w="0" w:type="dxa"/>
              <w:bottom w:w="0" w:type="dxa"/>
            </w:tcMar>
            <w:vAlign w:val="center"/>
          </w:tcPr>
          <w:p w:rsidR="00BE2C99" w:rsidRDefault="005B7AC4">
            <w:pPr>
              <w:keepNext/>
              <w:keepLines/>
              <w:spacing w:after="0" w:line="240" w:lineRule="auto"/>
              <w:jc w:val="right"/>
            </w:pPr>
            <w:r>
              <w:rPr>
                <w:sz w:val="18"/>
              </w:rPr>
              <w:t>45,0</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BE2C99">
            <w:pPr>
              <w:keepNext/>
              <w:keepLines/>
              <w:spacing w:after="0" w:line="240" w:lineRule="auto"/>
            </w:pPr>
          </w:p>
        </w:tc>
        <w:tc>
          <w:tcPr>
            <w:tcW w:w="3180" w:type="dxa"/>
            <w:tcMar>
              <w:top w:w="0" w:type="dxa"/>
              <w:bottom w:w="0" w:type="dxa"/>
            </w:tcMar>
            <w:vAlign w:val="center"/>
          </w:tcPr>
          <w:p w:rsidR="00BE2C99" w:rsidRDefault="005B7AC4">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BE2C99" w:rsidRDefault="005B7AC4">
            <w:pPr>
              <w:keepNext/>
              <w:keepLines/>
              <w:spacing w:after="0" w:line="240" w:lineRule="auto"/>
            </w:pPr>
            <w:r>
              <w:rPr>
                <w:b/>
                <w:sz w:val="18"/>
              </w:rPr>
              <w:t>Y002</w:t>
            </w:r>
          </w:p>
        </w:tc>
        <w:tc>
          <w:tcPr>
            <w:tcW w:w="1860" w:type="dxa"/>
            <w:tcMar>
              <w:top w:w="0" w:type="dxa"/>
              <w:bottom w:w="0" w:type="dxa"/>
            </w:tcMar>
            <w:vAlign w:val="center"/>
          </w:tcPr>
          <w:p w:rsidR="00BE2C99" w:rsidRDefault="005B7AC4">
            <w:pPr>
              <w:keepNext/>
              <w:keepLines/>
              <w:spacing w:after="0" w:line="240" w:lineRule="auto"/>
              <w:jc w:val="right"/>
            </w:pPr>
            <w:r>
              <w:rPr>
                <w:b/>
                <w:sz w:val="18"/>
              </w:rPr>
              <w:t>307.816,01</w:t>
            </w:r>
          </w:p>
        </w:tc>
        <w:tc>
          <w:tcPr>
            <w:tcW w:w="1860" w:type="dxa"/>
            <w:tcMar>
              <w:top w:w="0" w:type="dxa"/>
              <w:bottom w:w="0" w:type="dxa"/>
            </w:tcMar>
            <w:vAlign w:val="center"/>
          </w:tcPr>
          <w:p w:rsidR="00BE2C99" w:rsidRDefault="005B7AC4">
            <w:pPr>
              <w:keepNext/>
              <w:keepLines/>
              <w:spacing w:after="0" w:line="240" w:lineRule="auto"/>
              <w:jc w:val="right"/>
            </w:pPr>
            <w:r>
              <w:rPr>
                <w:b/>
                <w:sz w:val="18"/>
              </w:rPr>
              <w:t>138.298,62</w:t>
            </w:r>
          </w:p>
        </w:tc>
        <w:tc>
          <w:tcPr>
            <w:tcW w:w="700" w:type="dxa"/>
            <w:tcMar>
              <w:top w:w="0" w:type="dxa"/>
              <w:bottom w:w="0" w:type="dxa"/>
            </w:tcMar>
            <w:vAlign w:val="center"/>
          </w:tcPr>
          <w:p w:rsidR="00BE2C99" w:rsidRDefault="005B7AC4">
            <w:pPr>
              <w:keepNext/>
              <w:keepLines/>
              <w:spacing w:after="0" w:line="240" w:lineRule="auto"/>
              <w:jc w:val="right"/>
            </w:pPr>
            <w:r>
              <w:rPr>
                <w:b/>
                <w:sz w:val="18"/>
              </w:rPr>
              <w:t>44,9</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5B7AC4">
            <w:pPr>
              <w:keepNext/>
              <w:keepLines/>
              <w:spacing w:after="0" w:line="240" w:lineRule="auto"/>
            </w:pPr>
            <w:r>
              <w:rPr>
                <w:sz w:val="18"/>
              </w:rPr>
              <w:t>8</w:t>
            </w:r>
          </w:p>
        </w:tc>
        <w:tc>
          <w:tcPr>
            <w:tcW w:w="3180" w:type="dxa"/>
            <w:tcMar>
              <w:top w:w="0" w:type="dxa"/>
              <w:bottom w:w="0" w:type="dxa"/>
            </w:tcMar>
            <w:vAlign w:val="center"/>
          </w:tcPr>
          <w:p w:rsidR="00BE2C99" w:rsidRDefault="005B7AC4">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BE2C99" w:rsidRDefault="005B7AC4">
            <w:pPr>
              <w:keepNext/>
              <w:keepLines/>
              <w:spacing w:after="0" w:line="240" w:lineRule="auto"/>
            </w:pPr>
            <w:r>
              <w:rPr>
                <w:sz w:val="18"/>
              </w:rPr>
              <w:t>8</w:t>
            </w:r>
          </w:p>
        </w:tc>
        <w:tc>
          <w:tcPr>
            <w:tcW w:w="1860" w:type="dxa"/>
            <w:tcMar>
              <w:top w:w="0" w:type="dxa"/>
              <w:bottom w:w="0" w:type="dxa"/>
            </w:tcMar>
            <w:vAlign w:val="center"/>
          </w:tcPr>
          <w:p w:rsidR="00BE2C99" w:rsidRDefault="005B7AC4">
            <w:pPr>
              <w:keepNext/>
              <w:keepLines/>
              <w:spacing w:after="0" w:line="240" w:lineRule="auto"/>
              <w:jc w:val="right"/>
            </w:pPr>
            <w:r>
              <w:rPr>
                <w:sz w:val="18"/>
              </w:rPr>
              <w:t>0,00</w:t>
            </w:r>
          </w:p>
        </w:tc>
        <w:tc>
          <w:tcPr>
            <w:tcW w:w="1860" w:type="dxa"/>
            <w:tcMar>
              <w:top w:w="0" w:type="dxa"/>
              <w:bottom w:w="0" w:type="dxa"/>
            </w:tcMar>
            <w:vAlign w:val="center"/>
          </w:tcPr>
          <w:p w:rsidR="00BE2C99" w:rsidRDefault="005B7AC4">
            <w:pPr>
              <w:keepNext/>
              <w:keepLines/>
              <w:spacing w:after="0" w:line="240" w:lineRule="auto"/>
              <w:jc w:val="right"/>
            </w:pPr>
            <w:r>
              <w:rPr>
                <w:sz w:val="18"/>
              </w:rPr>
              <w:t>0,00</w:t>
            </w:r>
          </w:p>
        </w:tc>
        <w:tc>
          <w:tcPr>
            <w:tcW w:w="700" w:type="dxa"/>
            <w:tcMar>
              <w:top w:w="0" w:type="dxa"/>
              <w:bottom w:w="0" w:type="dxa"/>
            </w:tcMar>
            <w:vAlign w:val="center"/>
          </w:tcPr>
          <w:p w:rsidR="00BE2C99" w:rsidRDefault="005B7AC4">
            <w:pPr>
              <w:keepNext/>
              <w:keepLines/>
              <w:spacing w:after="0" w:line="240" w:lineRule="auto"/>
              <w:jc w:val="right"/>
            </w:pPr>
            <w:r>
              <w:rPr>
                <w:sz w:val="18"/>
              </w:rPr>
              <w:t>-</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5B7AC4">
            <w:pPr>
              <w:keepNext/>
              <w:keepLines/>
              <w:spacing w:after="0" w:line="240" w:lineRule="auto"/>
            </w:pPr>
            <w:r>
              <w:rPr>
                <w:sz w:val="18"/>
              </w:rPr>
              <w:t>5</w:t>
            </w:r>
          </w:p>
        </w:tc>
        <w:tc>
          <w:tcPr>
            <w:tcW w:w="3180" w:type="dxa"/>
            <w:tcMar>
              <w:top w:w="0" w:type="dxa"/>
              <w:bottom w:w="0" w:type="dxa"/>
            </w:tcMar>
            <w:vAlign w:val="center"/>
          </w:tcPr>
          <w:p w:rsidR="00BE2C99" w:rsidRDefault="005B7AC4">
            <w:pPr>
              <w:keepNext/>
              <w:keepLines/>
              <w:spacing w:after="0" w:line="240" w:lineRule="auto"/>
            </w:pPr>
            <w:r>
              <w:rPr>
                <w:sz w:val="18"/>
              </w:rPr>
              <w:t xml:space="preserve">Izdaci za financijsku imovinu i </w:t>
            </w:r>
            <w:r>
              <w:rPr>
                <w:sz w:val="18"/>
              </w:rPr>
              <w:t>otplate zajmova (šifre 51+52+53+54+55)</w:t>
            </w:r>
          </w:p>
        </w:tc>
        <w:tc>
          <w:tcPr>
            <w:tcW w:w="700" w:type="dxa"/>
            <w:tcMar>
              <w:top w:w="0" w:type="dxa"/>
              <w:bottom w:w="0" w:type="dxa"/>
            </w:tcMar>
            <w:vAlign w:val="center"/>
          </w:tcPr>
          <w:p w:rsidR="00BE2C99" w:rsidRDefault="005B7AC4">
            <w:pPr>
              <w:keepNext/>
              <w:keepLines/>
              <w:spacing w:after="0" w:line="240" w:lineRule="auto"/>
            </w:pPr>
            <w:r>
              <w:rPr>
                <w:sz w:val="18"/>
              </w:rPr>
              <w:t>5</w:t>
            </w:r>
          </w:p>
        </w:tc>
        <w:tc>
          <w:tcPr>
            <w:tcW w:w="1860" w:type="dxa"/>
            <w:tcMar>
              <w:top w:w="0" w:type="dxa"/>
              <w:bottom w:w="0" w:type="dxa"/>
            </w:tcMar>
            <w:vAlign w:val="center"/>
          </w:tcPr>
          <w:p w:rsidR="00BE2C99" w:rsidRDefault="005B7AC4">
            <w:pPr>
              <w:keepNext/>
              <w:keepLines/>
              <w:spacing w:after="0" w:line="240" w:lineRule="auto"/>
              <w:jc w:val="right"/>
            </w:pPr>
            <w:r>
              <w:rPr>
                <w:sz w:val="18"/>
              </w:rPr>
              <w:t>0,00</w:t>
            </w:r>
          </w:p>
        </w:tc>
        <w:tc>
          <w:tcPr>
            <w:tcW w:w="1860" w:type="dxa"/>
            <w:tcMar>
              <w:top w:w="0" w:type="dxa"/>
              <w:bottom w:w="0" w:type="dxa"/>
            </w:tcMar>
            <w:vAlign w:val="center"/>
          </w:tcPr>
          <w:p w:rsidR="00BE2C99" w:rsidRDefault="005B7AC4">
            <w:pPr>
              <w:keepNext/>
              <w:keepLines/>
              <w:spacing w:after="0" w:line="240" w:lineRule="auto"/>
              <w:jc w:val="right"/>
            </w:pPr>
            <w:r>
              <w:rPr>
                <w:sz w:val="18"/>
              </w:rPr>
              <w:t>0,00</w:t>
            </w:r>
          </w:p>
        </w:tc>
        <w:tc>
          <w:tcPr>
            <w:tcW w:w="700" w:type="dxa"/>
            <w:tcMar>
              <w:top w:w="0" w:type="dxa"/>
              <w:bottom w:w="0" w:type="dxa"/>
            </w:tcMar>
            <w:vAlign w:val="center"/>
          </w:tcPr>
          <w:p w:rsidR="00BE2C99" w:rsidRDefault="005B7AC4">
            <w:pPr>
              <w:keepNext/>
              <w:keepLines/>
              <w:spacing w:after="0" w:line="240" w:lineRule="auto"/>
              <w:jc w:val="right"/>
            </w:pPr>
            <w:r>
              <w:rPr>
                <w:sz w:val="18"/>
              </w:rPr>
              <w:t>-</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BE2C99">
            <w:pPr>
              <w:keepNext/>
              <w:keepLines/>
              <w:spacing w:after="0" w:line="240" w:lineRule="auto"/>
            </w:pPr>
          </w:p>
        </w:tc>
        <w:tc>
          <w:tcPr>
            <w:tcW w:w="3180" w:type="dxa"/>
            <w:tcMar>
              <w:top w:w="0" w:type="dxa"/>
              <w:bottom w:w="0" w:type="dxa"/>
            </w:tcMar>
            <w:vAlign w:val="center"/>
          </w:tcPr>
          <w:p w:rsidR="00BE2C99" w:rsidRDefault="005B7AC4">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BE2C99" w:rsidRDefault="005B7AC4">
            <w:pPr>
              <w:keepNext/>
              <w:keepLines/>
              <w:spacing w:after="0" w:line="240" w:lineRule="auto"/>
            </w:pPr>
            <w:r>
              <w:rPr>
                <w:b/>
                <w:sz w:val="18"/>
              </w:rPr>
              <w:t>X003, Y003</w:t>
            </w:r>
          </w:p>
        </w:tc>
        <w:tc>
          <w:tcPr>
            <w:tcW w:w="1860" w:type="dxa"/>
            <w:tcMar>
              <w:top w:w="0" w:type="dxa"/>
              <w:bottom w:w="0" w:type="dxa"/>
            </w:tcMar>
            <w:vAlign w:val="center"/>
          </w:tcPr>
          <w:p w:rsidR="00BE2C99" w:rsidRDefault="005B7AC4">
            <w:pPr>
              <w:keepNext/>
              <w:keepLines/>
              <w:spacing w:after="0" w:line="240" w:lineRule="auto"/>
              <w:jc w:val="right"/>
            </w:pPr>
            <w:r>
              <w:rPr>
                <w:b/>
                <w:sz w:val="18"/>
              </w:rPr>
              <w:t>0,00</w:t>
            </w:r>
          </w:p>
        </w:tc>
        <w:tc>
          <w:tcPr>
            <w:tcW w:w="1860" w:type="dxa"/>
            <w:tcMar>
              <w:top w:w="0" w:type="dxa"/>
              <w:bottom w:w="0" w:type="dxa"/>
            </w:tcMar>
            <w:vAlign w:val="center"/>
          </w:tcPr>
          <w:p w:rsidR="00BE2C99" w:rsidRDefault="005B7AC4">
            <w:pPr>
              <w:keepNext/>
              <w:keepLines/>
              <w:spacing w:after="0" w:line="240" w:lineRule="auto"/>
              <w:jc w:val="right"/>
            </w:pPr>
            <w:r>
              <w:rPr>
                <w:b/>
                <w:sz w:val="18"/>
              </w:rPr>
              <w:t>0,00</w:t>
            </w:r>
          </w:p>
        </w:tc>
        <w:tc>
          <w:tcPr>
            <w:tcW w:w="700" w:type="dxa"/>
            <w:tcMar>
              <w:top w:w="0" w:type="dxa"/>
              <w:bottom w:w="0" w:type="dxa"/>
            </w:tcMar>
            <w:vAlign w:val="center"/>
          </w:tcPr>
          <w:p w:rsidR="00BE2C99" w:rsidRDefault="005B7AC4">
            <w:pPr>
              <w:keepNext/>
              <w:keepLines/>
              <w:spacing w:after="0" w:line="240" w:lineRule="auto"/>
              <w:jc w:val="right"/>
            </w:pPr>
            <w:r>
              <w:rPr>
                <w:b/>
                <w:sz w:val="18"/>
              </w:rPr>
              <w:t>-</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BE2C99">
            <w:pPr>
              <w:keepNext/>
              <w:keepLines/>
              <w:spacing w:after="0" w:line="240" w:lineRule="auto"/>
            </w:pPr>
          </w:p>
        </w:tc>
        <w:tc>
          <w:tcPr>
            <w:tcW w:w="3180" w:type="dxa"/>
            <w:tcMar>
              <w:top w:w="0" w:type="dxa"/>
              <w:bottom w:w="0" w:type="dxa"/>
            </w:tcMar>
            <w:vAlign w:val="center"/>
          </w:tcPr>
          <w:p w:rsidR="00BE2C99" w:rsidRDefault="005B7AC4">
            <w:pPr>
              <w:keepNext/>
              <w:keepLines/>
              <w:spacing w:after="0" w:line="240" w:lineRule="auto"/>
            </w:pPr>
            <w:r>
              <w:rPr>
                <w:b/>
                <w:sz w:val="18"/>
              </w:rPr>
              <w:t>MANJAK PRIHODA I PRIMITAKA (šifre Y345-X678)</w:t>
            </w:r>
          </w:p>
        </w:tc>
        <w:tc>
          <w:tcPr>
            <w:tcW w:w="700" w:type="dxa"/>
            <w:tcMar>
              <w:top w:w="0" w:type="dxa"/>
              <w:bottom w:w="0" w:type="dxa"/>
            </w:tcMar>
            <w:vAlign w:val="center"/>
          </w:tcPr>
          <w:p w:rsidR="00BE2C99" w:rsidRDefault="005B7AC4">
            <w:pPr>
              <w:keepNext/>
              <w:keepLines/>
              <w:spacing w:after="0" w:line="240" w:lineRule="auto"/>
            </w:pPr>
            <w:r>
              <w:rPr>
                <w:b/>
                <w:sz w:val="18"/>
              </w:rPr>
              <w:t>Y005</w:t>
            </w:r>
          </w:p>
        </w:tc>
        <w:tc>
          <w:tcPr>
            <w:tcW w:w="1860" w:type="dxa"/>
            <w:tcMar>
              <w:top w:w="0" w:type="dxa"/>
              <w:bottom w:w="0" w:type="dxa"/>
            </w:tcMar>
            <w:vAlign w:val="center"/>
          </w:tcPr>
          <w:p w:rsidR="00BE2C99" w:rsidRDefault="005B7AC4">
            <w:pPr>
              <w:keepNext/>
              <w:keepLines/>
              <w:spacing w:after="0" w:line="240" w:lineRule="auto"/>
              <w:jc w:val="right"/>
            </w:pPr>
            <w:r>
              <w:rPr>
                <w:b/>
                <w:sz w:val="18"/>
              </w:rPr>
              <w:t>251.862,36</w:t>
            </w:r>
          </w:p>
        </w:tc>
        <w:tc>
          <w:tcPr>
            <w:tcW w:w="1860" w:type="dxa"/>
            <w:tcMar>
              <w:top w:w="0" w:type="dxa"/>
              <w:bottom w:w="0" w:type="dxa"/>
            </w:tcMar>
            <w:vAlign w:val="center"/>
          </w:tcPr>
          <w:p w:rsidR="00BE2C99" w:rsidRDefault="005B7AC4">
            <w:pPr>
              <w:keepNext/>
              <w:keepLines/>
              <w:spacing w:after="0" w:line="240" w:lineRule="auto"/>
              <w:jc w:val="right"/>
            </w:pPr>
            <w:r>
              <w:rPr>
                <w:b/>
                <w:sz w:val="18"/>
              </w:rPr>
              <w:t>84.004,77</w:t>
            </w:r>
          </w:p>
        </w:tc>
        <w:tc>
          <w:tcPr>
            <w:tcW w:w="700" w:type="dxa"/>
            <w:tcMar>
              <w:top w:w="0" w:type="dxa"/>
              <w:bottom w:w="0" w:type="dxa"/>
            </w:tcMar>
            <w:vAlign w:val="center"/>
          </w:tcPr>
          <w:p w:rsidR="00BE2C99" w:rsidRDefault="005B7AC4">
            <w:pPr>
              <w:keepNext/>
              <w:keepLines/>
              <w:spacing w:after="0" w:line="240" w:lineRule="auto"/>
              <w:jc w:val="right"/>
            </w:pPr>
            <w:r>
              <w:rPr>
                <w:b/>
                <w:sz w:val="18"/>
              </w:rPr>
              <w:t>33,4</w:t>
            </w:r>
          </w:p>
        </w:tc>
      </w:tr>
    </w:tbl>
    <w:p w:rsidR="00BE2C99" w:rsidRDefault="00BE2C99">
      <w:pPr>
        <w:spacing w:after="0"/>
      </w:pPr>
    </w:p>
    <w:p w:rsidR="00BE2C99" w:rsidRDefault="005B7AC4">
      <w:pPr>
        <w:jc w:val="both"/>
      </w:pPr>
      <w:r>
        <w:t>U razdoblju od 1. siječnja do 31. prosinca 2025. godine, prihodi poslovanja ostvareni su u iznosu od 4.172.489,14 EUR. Najznačajniji utjecaj na rast prihoda imala je nova računovodstvena obveza evidentiranja dobivenih cjepiva koju je, sukladno Naputku Mini</w:t>
      </w:r>
      <w:r>
        <w:t xml:space="preserve">starstva financija, Zavod dužan primjenjivati od početka 2025. godine. Budući da navedena obveza nije bila na snazi tijekom 2024. godine, zabilježeno je značajno odstupanje u </w:t>
      </w:r>
      <w:r>
        <w:lastRenderedPageBreak/>
        <w:t>prihodima u usporedbi s prethodnom izvještajnom godinom.</w:t>
      </w:r>
      <w:r>
        <w:br/>
        <w:t>Istovremeno, rashodi pos</w:t>
      </w:r>
      <w:r>
        <w:t>lovanja u istom razdoblju iznosili su 4.118.195, 29 EUR. Analogno prihodovnoj strani, na rast rashoda presudno je utjecalo uvođenje obveze evidentiranja utrošenih cjepiva kao rashoda poslovanja. S obzirom na to da se ovaj trošak u 2024. godini nije iskaziv</w:t>
      </w:r>
      <w:r>
        <w:t>ao na taj način, nastalo odstupanje u odnosu na prethodnu godinu rezultat je usklađivanja s novim propisima Ministarstva financija.</w:t>
      </w:r>
    </w:p>
    <w:p w:rsidR="00BE2C99" w:rsidRDefault="005B7AC4">
      <w:pPr>
        <w:jc w:val="both"/>
      </w:pPr>
      <w:r>
        <w:t>U razdoblju od 1. siječnja do 31. prosinca 2025. godine ostvareno je 303,09 EUR prihoda od prodaje nefinancijske imovine dok</w:t>
      </w:r>
      <w:r>
        <w:t xml:space="preserve"> su rashodi za nabavu nefinancijske imovine iznosili 138.298,62 EUR te su najvećim dijelom </w:t>
      </w:r>
      <w:proofErr w:type="spellStart"/>
      <w:r>
        <w:t>pokrivreni</w:t>
      </w:r>
      <w:proofErr w:type="spellEnd"/>
      <w:r>
        <w:t xml:space="preserve"> sredstvima decentraliziranih funkcija.</w:t>
      </w:r>
    </w:p>
    <w:p w:rsidR="00BE2C99" w:rsidRDefault="005B7AC4">
      <w:pPr>
        <w:jc w:val="both"/>
      </w:pPr>
      <w:r>
        <w:t xml:space="preserve">Sveukupno, Zavod za javno zdravstvo Međimurske županije prema pokazateljima financijskog poslovanja u razdoblju od </w:t>
      </w:r>
      <w:r>
        <w:t>01. siječnja do 31. prosinca 2025. godine ostvario je ukupne prihode u iznosu od 4.172.792,23 EUR, te ukupne rashode u iznosu 4.256.797,00 EUR prilikom čega je nastao manjak prihoda nad rashodima u iznosu od 84.004,77 EUR.</w:t>
      </w:r>
    </w:p>
    <w:p w:rsidR="00BE2C99" w:rsidRDefault="005B7AC4">
      <w:pPr>
        <w:jc w:val="both"/>
      </w:pPr>
      <w:r>
        <w:t>Manjak prihoda i primitaka u izno</w:t>
      </w:r>
      <w:r>
        <w:t>su 84.004,77 EUR  nastao je zbog odrađenih  a neplaćenih usluga od strane HZZO-a i ostalih korisnika u iznosu od 26-</w:t>
      </w:r>
      <w:proofErr w:type="spellStart"/>
      <w:r>
        <w:t>tis</w:t>
      </w:r>
      <w:proofErr w:type="spellEnd"/>
      <w:r>
        <w:t xml:space="preserve"> EUR, uplate 35-</w:t>
      </w:r>
      <w:proofErr w:type="spellStart"/>
      <w:r>
        <w:t>tis</w:t>
      </w:r>
      <w:proofErr w:type="spellEnd"/>
      <w:r>
        <w:t xml:space="preserve"> EUR u proračun Međimurske županije temelje Odluke o raspodjeli rezultata te dodatna ulaganja na </w:t>
      </w:r>
      <w:proofErr w:type="spellStart"/>
      <w:r>
        <w:t>građ</w:t>
      </w:r>
      <w:proofErr w:type="spellEnd"/>
      <w:r>
        <w:t>. objektu (</w:t>
      </w:r>
      <w:proofErr w:type="spellStart"/>
      <w:r>
        <w:t>fotona</w:t>
      </w:r>
      <w:r>
        <w:t>ponske</w:t>
      </w:r>
      <w:proofErr w:type="spellEnd"/>
      <w:r>
        <w:t xml:space="preserve"> ćelije) u iznosu od 21-</w:t>
      </w:r>
      <w:proofErr w:type="spellStart"/>
      <w:r>
        <w:t>tis</w:t>
      </w:r>
      <w:proofErr w:type="spellEnd"/>
      <w:r>
        <w:t xml:space="preserve"> EUR. Manjku je pridonio trošak plaća pripravnika u iznosu od 16.624,92 EUR a čiji prihod (za pokriće troškova plaća) je pristigao u 2024. godini te se nalazi u financijskom rezultatu 2024. godine.  Također, zbog Odluke Min</w:t>
      </w:r>
      <w:r>
        <w:t>istarstva zdravstva o smanjenju cijena za 50%, od 1. srpnja 2024. prihodi od sanitarnih pregleda i higijenskog minimuma prepolovljeni su, što je značajno utjecalo na ukupni manjak.</w:t>
      </w:r>
    </w:p>
    <w:p w:rsidR="00BE2C99" w:rsidRDefault="005B7AC4">
      <w:pPr>
        <w:jc w:val="both"/>
      </w:pPr>
      <w:r>
        <w:t>Preneseni višak prihoda iz prethodne godine iznosio je 389.487,62 EUR. Tije</w:t>
      </w:r>
      <w:r>
        <w:t xml:space="preserve">kom 2025. godine taj je iznos umanjen za 260,51 EUR te iznosi 389.227,11 EUR. Do umanjenja rezultata došlo je uslijed povrata neiskorištenog dijela sredstava Hrvatskom zavodu za zapošljavanje (HZZ) za financiranje plaća pripravnika. Uključujući korigirani </w:t>
      </w:r>
      <w:r>
        <w:t>višak iz prethodnog razdoblja, Zavod je na dan 31. prosinca 2025. godine ostvario ukupni višak prihoda nad rashodima u iznosu od 305.222,34 EUR.</w:t>
      </w:r>
    </w:p>
    <w:p w:rsidR="00BE2C99" w:rsidRDefault="005B7AC4">
      <w:pPr>
        <w:jc w:val="both"/>
      </w:pPr>
      <w:r>
        <w:t> </w:t>
      </w:r>
    </w:p>
    <w:p w:rsidR="00BE2C99" w:rsidRDefault="005B7AC4">
      <w:r>
        <w:br/>
      </w:r>
    </w:p>
    <w:p w:rsidR="00BE2C99" w:rsidRDefault="005B7AC4">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w:t>
            </w:r>
            <w:r>
              <w:rPr>
                <w:b/>
                <w:sz w:val="18"/>
              </w:rPr>
              <w:t>reno u izvještajnom razdoblju tekuće godine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5B7AC4">
            <w:pPr>
              <w:keepNext/>
              <w:keepLines/>
              <w:spacing w:after="0" w:line="240" w:lineRule="auto"/>
            </w:pPr>
            <w:r>
              <w:rPr>
                <w:sz w:val="18"/>
              </w:rPr>
              <w:t>6331</w:t>
            </w:r>
          </w:p>
        </w:tc>
        <w:tc>
          <w:tcPr>
            <w:tcW w:w="3180" w:type="dxa"/>
            <w:tcMar>
              <w:top w:w="0" w:type="dxa"/>
              <w:bottom w:w="0" w:type="dxa"/>
            </w:tcMar>
            <w:vAlign w:val="center"/>
          </w:tcPr>
          <w:p w:rsidR="00BE2C99" w:rsidRDefault="005B7AC4">
            <w:pPr>
              <w:keepNext/>
              <w:keepLines/>
              <w:spacing w:after="0" w:line="240" w:lineRule="auto"/>
            </w:pPr>
            <w:r>
              <w:rPr>
                <w:sz w:val="18"/>
              </w:rPr>
              <w:t>Tekuće pomoći proračunu i izvanproračunskim korisnicima iz drugih proračuna</w:t>
            </w:r>
          </w:p>
        </w:tc>
        <w:tc>
          <w:tcPr>
            <w:tcW w:w="700" w:type="dxa"/>
            <w:tcMar>
              <w:top w:w="0" w:type="dxa"/>
              <w:bottom w:w="0" w:type="dxa"/>
            </w:tcMar>
            <w:vAlign w:val="center"/>
          </w:tcPr>
          <w:p w:rsidR="00BE2C99" w:rsidRDefault="005B7AC4">
            <w:pPr>
              <w:keepNext/>
              <w:keepLines/>
              <w:spacing w:after="0" w:line="240" w:lineRule="auto"/>
            </w:pPr>
            <w:r>
              <w:rPr>
                <w:sz w:val="18"/>
              </w:rPr>
              <w:t>6331</w:t>
            </w:r>
          </w:p>
        </w:tc>
        <w:tc>
          <w:tcPr>
            <w:tcW w:w="1860" w:type="dxa"/>
            <w:tcMar>
              <w:top w:w="0" w:type="dxa"/>
              <w:bottom w:w="0" w:type="dxa"/>
            </w:tcMar>
            <w:vAlign w:val="center"/>
          </w:tcPr>
          <w:p w:rsidR="00BE2C99" w:rsidRDefault="005B7AC4">
            <w:pPr>
              <w:keepNext/>
              <w:keepLines/>
              <w:spacing w:after="0" w:line="240" w:lineRule="auto"/>
              <w:jc w:val="right"/>
            </w:pPr>
            <w:r>
              <w:rPr>
                <w:sz w:val="18"/>
              </w:rPr>
              <w:t>0,00</w:t>
            </w:r>
          </w:p>
        </w:tc>
        <w:tc>
          <w:tcPr>
            <w:tcW w:w="1860" w:type="dxa"/>
            <w:tcMar>
              <w:top w:w="0" w:type="dxa"/>
              <w:bottom w:w="0" w:type="dxa"/>
            </w:tcMar>
            <w:vAlign w:val="center"/>
          </w:tcPr>
          <w:p w:rsidR="00BE2C99" w:rsidRDefault="005B7AC4">
            <w:pPr>
              <w:keepNext/>
              <w:keepLines/>
              <w:spacing w:after="0" w:line="240" w:lineRule="auto"/>
              <w:jc w:val="right"/>
            </w:pPr>
            <w:r>
              <w:rPr>
                <w:sz w:val="18"/>
              </w:rPr>
              <w:t>200,00</w:t>
            </w:r>
          </w:p>
        </w:tc>
        <w:tc>
          <w:tcPr>
            <w:tcW w:w="700" w:type="dxa"/>
            <w:tcMar>
              <w:top w:w="0" w:type="dxa"/>
              <w:bottom w:w="0" w:type="dxa"/>
            </w:tcMar>
            <w:vAlign w:val="center"/>
          </w:tcPr>
          <w:p w:rsidR="00BE2C99" w:rsidRDefault="005B7AC4">
            <w:pPr>
              <w:keepNext/>
              <w:keepLines/>
              <w:spacing w:after="0" w:line="240" w:lineRule="auto"/>
              <w:jc w:val="right"/>
            </w:pPr>
            <w:r>
              <w:rPr>
                <w:sz w:val="18"/>
              </w:rPr>
              <w:t>-</w:t>
            </w:r>
          </w:p>
        </w:tc>
      </w:tr>
    </w:tbl>
    <w:p w:rsidR="00BE2C99" w:rsidRDefault="00BE2C99">
      <w:pPr>
        <w:spacing w:after="0"/>
      </w:pPr>
    </w:p>
    <w:p w:rsidR="00BE2C99" w:rsidRDefault="005B7AC4">
      <w:pPr>
        <w:jc w:val="both"/>
      </w:pPr>
      <w:r>
        <w:t xml:space="preserve">U 2025. godini, stavka pomoći iz drugih proračuna uključuje </w:t>
      </w:r>
      <w:proofErr w:type="spellStart"/>
      <w:r>
        <w:t>BeCROactive</w:t>
      </w:r>
      <w:proofErr w:type="spellEnd"/>
      <w:r>
        <w:t xml:space="preserve"> nagradu u obliku poklon bona u vrijednosti od 200 EUR.</w:t>
      </w:r>
    </w:p>
    <w:p w:rsidR="00BE2C99" w:rsidRDefault="005B7AC4">
      <w:pPr>
        <w:jc w:val="both"/>
      </w:pPr>
      <w:r>
        <w:lastRenderedPageBreak/>
        <w:t>Ovu nagradu dodjeljuje Ministarstvo turizma i sporta u sklopu projekta Europski tjedan sporta. Zavod je priznanje zaslužio ulasko</w:t>
      </w:r>
      <w:r>
        <w:t>m među tri najbolja finalista u kategoriji Međugeneracijska uključenost, čime se potiče bavljenje sportom i tjelesna aktivnost u svim dobnim skupinama.</w:t>
      </w:r>
    </w:p>
    <w:p w:rsidR="00BE2C99" w:rsidRDefault="00BE2C99"/>
    <w:p w:rsidR="00BE2C99" w:rsidRDefault="005B7AC4">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w:t>
            </w:r>
            <w:r>
              <w:rPr>
                <w:b/>
                <w:sz w:val="18"/>
              </w:rPr>
              <w:t>stvareno u izvještajnom razdoblju tekuće godine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5B7AC4">
            <w:pPr>
              <w:keepNext/>
              <w:keepLines/>
              <w:spacing w:after="0" w:line="240" w:lineRule="auto"/>
            </w:pPr>
            <w:r>
              <w:rPr>
                <w:sz w:val="18"/>
              </w:rPr>
              <w:t>6341</w:t>
            </w:r>
          </w:p>
        </w:tc>
        <w:tc>
          <w:tcPr>
            <w:tcW w:w="3180" w:type="dxa"/>
            <w:tcMar>
              <w:top w:w="0" w:type="dxa"/>
              <w:bottom w:w="0" w:type="dxa"/>
            </w:tcMar>
            <w:vAlign w:val="center"/>
          </w:tcPr>
          <w:p w:rsidR="00BE2C99" w:rsidRDefault="005B7AC4">
            <w:pPr>
              <w:keepNext/>
              <w:keepLines/>
              <w:spacing w:after="0" w:line="240" w:lineRule="auto"/>
            </w:pPr>
            <w:r>
              <w:rPr>
                <w:sz w:val="18"/>
              </w:rPr>
              <w:t>Tekuće pomoći od izvanproračunskih korisnika</w:t>
            </w:r>
          </w:p>
        </w:tc>
        <w:tc>
          <w:tcPr>
            <w:tcW w:w="700" w:type="dxa"/>
            <w:tcMar>
              <w:top w:w="0" w:type="dxa"/>
              <w:bottom w:w="0" w:type="dxa"/>
            </w:tcMar>
            <w:vAlign w:val="center"/>
          </w:tcPr>
          <w:p w:rsidR="00BE2C99" w:rsidRDefault="005B7AC4">
            <w:pPr>
              <w:keepNext/>
              <w:keepLines/>
              <w:spacing w:after="0" w:line="240" w:lineRule="auto"/>
            </w:pPr>
            <w:r>
              <w:rPr>
                <w:sz w:val="18"/>
              </w:rPr>
              <w:t>6341</w:t>
            </w:r>
          </w:p>
        </w:tc>
        <w:tc>
          <w:tcPr>
            <w:tcW w:w="1860" w:type="dxa"/>
            <w:tcMar>
              <w:top w:w="0" w:type="dxa"/>
              <w:bottom w:w="0" w:type="dxa"/>
            </w:tcMar>
            <w:vAlign w:val="center"/>
          </w:tcPr>
          <w:p w:rsidR="00BE2C99" w:rsidRDefault="005B7AC4">
            <w:pPr>
              <w:keepNext/>
              <w:keepLines/>
              <w:spacing w:after="0" w:line="240" w:lineRule="auto"/>
              <w:jc w:val="right"/>
            </w:pPr>
            <w:r>
              <w:rPr>
                <w:sz w:val="18"/>
              </w:rPr>
              <w:t>44.219,22</w:t>
            </w:r>
          </w:p>
        </w:tc>
        <w:tc>
          <w:tcPr>
            <w:tcW w:w="1860" w:type="dxa"/>
            <w:tcMar>
              <w:top w:w="0" w:type="dxa"/>
              <w:bottom w:w="0" w:type="dxa"/>
            </w:tcMar>
            <w:vAlign w:val="center"/>
          </w:tcPr>
          <w:p w:rsidR="00BE2C99" w:rsidRDefault="005B7AC4">
            <w:pPr>
              <w:keepNext/>
              <w:keepLines/>
              <w:spacing w:after="0" w:line="240" w:lineRule="auto"/>
              <w:jc w:val="right"/>
            </w:pPr>
            <w:r>
              <w:rPr>
                <w:sz w:val="18"/>
              </w:rPr>
              <w:t>24.723,49</w:t>
            </w:r>
          </w:p>
        </w:tc>
        <w:tc>
          <w:tcPr>
            <w:tcW w:w="700" w:type="dxa"/>
            <w:tcMar>
              <w:top w:w="0" w:type="dxa"/>
              <w:bottom w:w="0" w:type="dxa"/>
            </w:tcMar>
            <w:vAlign w:val="center"/>
          </w:tcPr>
          <w:p w:rsidR="00BE2C99" w:rsidRDefault="005B7AC4">
            <w:pPr>
              <w:keepNext/>
              <w:keepLines/>
              <w:spacing w:after="0" w:line="240" w:lineRule="auto"/>
              <w:jc w:val="right"/>
            </w:pPr>
            <w:r>
              <w:rPr>
                <w:sz w:val="18"/>
              </w:rPr>
              <w:t>55,9</w:t>
            </w:r>
          </w:p>
        </w:tc>
      </w:tr>
    </w:tbl>
    <w:p w:rsidR="00BE2C99" w:rsidRDefault="00BE2C99">
      <w:pPr>
        <w:spacing w:after="0"/>
      </w:pPr>
    </w:p>
    <w:p w:rsidR="00BE2C99" w:rsidRDefault="005B7AC4">
      <w:pPr>
        <w:jc w:val="both"/>
      </w:pPr>
      <w:r>
        <w:t xml:space="preserve">Navedeni prihod u 2024. godini čine prihodi od HZZO-a za refundaciju </w:t>
      </w:r>
      <w:proofErr w:type="spellStart"/>
      <w:r>
        <w:t>covid</w:t>
      </w:r>
      <w:proofErr w:type="spellEnd"/>
      <w:r>
        <w:t xml:space="preserve"> nagrade. Naime, sukladno odluci Ministarstva zdravstva iz prosinca 2020. godine, HZZO je dužan refundirati  posebnu nagradu radnicima u sustavu zdravstva koji obavljaju poslove veza</w:t>
      </w:r>
      <w:r>
        <w:t xml:space="preserve">ne za pružanje zdravstvene skrbi pacijentima oboljelima od bolesti </w:t>
      </w:r>
      <w:proofErr w:type="spellStart"/>
      <w:r>
        <w:t>covid</w:t>
      </w:r>
      <w:proofErr w:type="spellEnd"/>
      <w:r>
        <w:t xml:space="preserve">-19. Po navedenoj osnovi HZZO je  refundirao navedeni trošak u 2024. godini u iznosu od 1.046,33€. Ista odluka stavljena je van snage  u kolovozu 2024. nakon čega </w:t>
      </w:r>
      <w:proofErr w:type="spellStart"/>
      <w:r>
        <w:t>covid</w:t>
      </w:r>
      <w:proofErr w:type="spellEnd"/>
      <w:r>
        <w:t xml:space="preserve"> nagrada više ni</w:t>
      </w:r>
      <w:r>
        <w:t xml:space="preserve">je bila isplaćivana stoga isti prihod nije zabilježen u 2025. godini. Također, u 2024. godini u spomenutom prihodu nalaze se sredstva dobivena od Hrvatskog zavoda za zapošljavanje za financiranje plaće pripravnika u iznosu od 43.097,33 EUR. Ostvarena je i </w:t>
      </w:r>
      <w:r>
        <w:t>refundacija za prethodne preglede zaposlenika u iznosu od 75,56 EUR.</w:t>
      </w:r>
    </w:p>
    <w:p w:rsidR="00BE2C99" w:rsidRDefault="005B7AC4">
      <w:pPr>
        <w:jc w:val="both"/>
      </w:pPr>
      <w:r>
        <w:t xml:space="preserve">U 2025. godini navedeni prihod čini refundacija plaća pripravnika od strane HZZO-a za razdoblje rujan-studeni 2025. godine u iznosu 24.723,49 </w:t>
      </w:r>
      <w:proofErr w:type="spellStart"/>
      <w:r>
        <w:t>eur</w:t>
      </w:r>
      <w:proofErr w:type="spellEnd"/>
      <w:r>
        <w:t>.</w:t>
      </w:r>
    </w:p>
    <w:p w:rsidR="00BE2C99" w:rsidRDefault="00BE2C99"/>
    <w:p w:rsidR="00BE2C99" w:rsidRDefault="005B7AC4">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Opis st</w:t>
            </w:r>
            <w:r>
              <w:rPr>
                <w:b/>
                <w:sz w:val="18"/>
              </w:rPr>
              <w: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5B7AC4">
            <w:pPr>
              <w:keepNext/>
              <w:keepLines/>
              <w:spacing w:after="0" w:line="240" w:lineRule="auto"/>
            </w:pPr>
            <w:r>
              <w:rPr>
                <w:sz w:val="18"/>
              </w:rPr>
              <w:t>6361</w:t>
            </w:r>
          </w:p>
        </w:tc>
        <w:tc>
          <w:tcPr>
            <w:tcW w:w="3180" w:type="dxa"/>
            <w:tcMar>
              <w:top w:w="0" w:type="dxa"/>
              <w:bottom w:w="0" w:type="dxa"/>
            </w:tcMar>
            <w:vAlign w:val="center"/>
          </w:tcPr>
          <w:p w:rsidR="00BE2C99" w:rsidRDefault="005B7AC4">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rsidR="00BE2C99" w:rsidRDefault="005B7AC4">
            <w:pPr>
              <w:keepNext/>
              <w:keepLines/>
              <w:spacing w:after="0" w:line="240" w:lineRule="auto"/>
            </w:pPr>
            <w:r>
              <w:rPr>
                <w:sz w:val="18"/>
              </w:rPr>
              <w:t>6361</w:t>
            </w:r>
          </w:p>
        </w:tc>
        <w:tc>
          <w:tcPr>
            <w:tcW w:w="1860" w:type="dxa"/>
            <w:tcMar>
              <w:top w:w="0" w:type="dxa"/>
              <w:bottom w:w="0" w:type="dxa"/>
            </w:tcMar>
            <w:vAlign w:val="center"/>
          </w:tcPr>
          <w:p w:rsidR="00BE2C99" w:rsidRDefault="005B7AC4">
            <w:pPr>
              <w:keepNext/>
              <w:keepLines/>
              <w:spacing w:after="0" w:line="240" w:lineRule="auto"/>
              <w:jc w:val="right"/>
            </w:pPr>
            <w:r>
              <w:rPr>
                <w:sz w:val="18"/>
              </w:rPr>
              <w:t>57.293,37</w:t>
            </w:r>
          </w:p>
        </w:tc>
        <w:tc>
          <w:tcPr>
            <w:tcW w:w="1860" w:type="dxa"/>
            <w:tcMar>
              <w:top w:w="0" w:type="dxa"/>
              <w:bottom w:w="0" w:type="dxa"/>
            </w:tcMar>
            <w:vAlign w:val="center"/>
          </w:tcPr>
          <w:p w:rsidR="00BE2C99" w:rsidRDefault="005B7AC4">
            <w:pPr>
              <w:keepNext/>
              <w:keepLines/>
              <w:spacing w:after="0" w:line="240" w:lineRule="auto"/>
              <w:jc w:val="right"/>
            </w:pPr>
            <w:r>
              <w:rPr>
                <w:sz w:val="18"/>
              </w:rPr>
              <w:t>516.282,27</w:t>
            </w:r>
          </w:p>
        </w:tc>
        <w:tc>
          <w:tcPr>
            <w:tcW w:w="700" w:type="dxa"/>
            <w:tcMar>
              <w:top w:w="0" w:type="dxa"/>
              <w:bottom w:w="0" w:type="dxa"/>
            </w:tcMar>
            <w:vAlign w:val="center"/>
          </w:tcPr>
          <w:p w:rsidR="00BE2C99" w:rsidRDefault="005B7AC4">
            <w:pPr>
              <w:keepNext/>
              <w:keepLines/>
              <w:spacing w:after="0" w:line="240" w:lineRule="auto"/>
              <w:jc w:val="right"/>
            </w:pPr>
            <w:r>
              <w:rPr>
                <w:sz w:val="18"/>
              </w:rPr>
              <w:t>901,1</w:t>
            </w:r>
          </w:p>
        </w:tc>
      </w:tr>
    </w:tbl>
    <w:p w:rsidR="00BE2C99" w:rsidRDefault="00BE2C99">
      <w:pPr>
        <w:spacing w:after="0"/>
      </w:pPr>
    </w:p>
    <w:p w:rsidR="00BE2C99" w:rsidRDefault="005B7AC4">
      <w:pPr>
        <w:jc w:val="both"/>
      </w:pPr>
      <w:r>
        <w:rPr>
          <w:b/>
        </w:rPr>
        <w:t>2024. godina</w:t>
      </w:r>
    </w:p>
    <w:p w:rsidR="00BE2C99" w:rsidRDefault="005B7AC4">
      <w:pPr>
        <w:jc w:val="both"/>
      </w:pPr>
      <w:r>
        <w:t>·         Grad Čakovec: 628,37 EUR -Projekt „Grad prijatelj djece“  (donacija igračaka)</w:t>
      </w:r>
    </w:p>
    <w:p w:rsidR="00BE2C99" w:rsidRDefault="005B7AC4">
      <w:pPr>
        <w:jc w:val="both"/>
      </w:pPr>
      <w:r>
        <w:t>·         Ministarstvo zdravstva: 55.000,00 EUR -Program „</w:t>
      </w:r>
      <w:proofErr w:type="spellStart"/>
      <w:r>
        <w:t>Hote</w:t>
      </w:r>
      <w:proofErr w:type="spellEnd"/>
      <w:r>
        <w:t xml:space="preserve"> v </w:t>
      </w:r>
      <w:proofErr w:type="spellStart"/>
      <w:r>
        <w:t>brege</w:t>
      </w:r>
      <w:proofErr w:type="spellEnd"/>
      <w:r>
        <w:t xml:space="preserve"> naše de ni </w:t>
      </w:r>
      <w:proofErr w:type="spellStart"/>
      <w:r>
        <w:t>jena</w:t>
      </w:r>
      <w:proofErr w:type="spellEnd"/>
      <w:r>
        <w:t xml:space="preserve"> ovisnost ne paše“</w:t>
      </w:r>
    </w:p>
    <w:p w:rsidR="00BE2C99" w:rsidRDefault="005B7AC4">
      <w:pPr>
        <w:jc w:val="both"/>
      </w:pPr>
      <w:r>
        <w:t>·         Grad Prelog: 1.000,00 EUR -pokroviteljstvo za Festiva</w:t>
      </w:r>
      <w:r>
        <w:t>l nordijskog hodanja</w:t>
      </w:r>
    </w:p>
    <w:p w:rsidR="00BE2C99" w:rsidRDefault="005B7AC4">
      <w:pPr>
        <w:jc w:val="both"/>
      </w:pPr>
      <w:r>
        <w:t xml:space="preserve">·         Grad Čakovec: 400,00 EUR -pokroviteljstvo za </w:t>
      </w:r>
      <w:proofErr w:type="spellStart"/>
      <w:r>
        <w:t>BeActive</w:t>
      </w:r>
      <w:proofErr w:type="spellEnd"/>
      <w:r>
        <w:t xml:space="preserve"> sat tjelesne i zdravstvene kulture na otvorenom te </w:t>
      </w:r>
      <w:proofErr w:type="spellStart"/>
      <w:r>
        <w:t>FlashMOVE</w:t>
      </w:r>
      <w:proofErr w:type="spellEnd"/>
      <w:r>
        <w:t xml:space="preserve"> plesni događaj</w:t>
      </w:r>
    </w:p>
    <w:p w:rsidR="00BE2C99" w:rsidRDefault="005B7AC4">
      <w:pPr>
        <w:jc w:val="both"/>
      </w:pPr>
      <w:r>
        <w:lastRenderedPageBreak/>
        <w:t xml:space="preserve">·         Općina </w:t>
      </w:r>
      <w:proofErr w:type="spellStart"/>
      <w:r>
        <w:t>Belica</w:t>
      </w:r>
      <w:proofErr w:type="spellEnd"/>
      <w:r>
        <w:t>: 265 EUR- donacija za obilježavanje 10.g rada grupe za nordijsko hodanj</w:t>
      </w:r>
      <w:r>
        <w:t>e</w:t>
      </w:r>
    </w:p>
    <w:p w:rsidR="00BE2C99" w:rsidRDefault="005B7AC4">
      <w:pPr>
        <w:jc w:val="both"/>
      </w:pPr>
      <w:r>
        <w:rPr>
          <w:b/>
        </w:rPr>
        <w:t>2025. godina</w:t>
      </w:r>
    </w:p>
    <w:p w:rsidR="00BE2C99" w:rsidRDefault="005B7AC4">
      <w:pPr>
        <w:jc w:val="both"/>
      </w:pPr>
      <w:r>
        <w:t>·         Hrvatski zavod za javno zdravstvo (HZJZ): 458.882,27 EUR -vrijednost primljenih cjepiva, evidentirano kao prihod sukladno uputi Ministarstva financija od 5. 11. 2024.</w:t>
      </w:r>
    </w:p>
    <w:p w:rsidR="00BE2C99" w:rsidRDefault="005B7AC4">
      <w:pPr>
        <w:jc w:val="both"/>
      </w:pPr>
      <w:r>
        <w:t>·         Ministarstvo zdravstva: 55.000,00 EUR -nastavak progra</w:t>
      </w:r>
      <w:r>
        <w:t>ma „</w:t>
      </w:r>
      <w:proofErr w:type="spellStart"/>
      <w:r>
        <w:t>Hote</w:t>
      </w:r>
      <w:proofErr w:type="spellEnd"/>
      <w:r>
        <w:t xml:space="preserve"> v </w:t>
      </w:r>
      <w:proofErr w:type="spellStart"/>
      <w:r>
        <w:t>brege</w:t>
      </w:r>
      <w:proofErr w:type="spellEnd"/>
      <w:r>
        <w:t xml:space="preserve"> naše de ni </w:t>
      </w:r>
      <w:proofErr w:type="spellStart"/>
      <w:r>
        <w:t>jena</w:t>
      </w:r>
      <w:proofErr w:type="spellEnd"/>
      <w:r>
        <w:t xml:space="preserve"> ovisnost ne paše“</w:t>
      </w:r>
    </w:p>
    <w:p w:rsidR="00BE2C99" w:rsidRDefault="005B7AC4">
      <w:pPr>
        <w:jc w:val="both"/>
      </w:pPr>
      <w:r>
        <w:t>·         Grad Prelog: 2.000,00 EUR -pokroviteljstvo za Festival nordijskog hodanja</w:t>
      </w:r>
    </w:p>
    <w:p w:rsidR="00BE2C99" w:rsidRDefault="005B7AC4">
      <w:pPr>
        <w:jc w:val="both"/>
      </w:pPr>
      <w:r>
        <w:t xml:space="preserve">·         Grad Čakovec: 400,00 EUR -pokroviteljstvo za </w:t>
      </w:r>
      <w:proofErr w:type="spellStart"/>
      <w:r>
        <w:t>BeActive</w:t>
      </w:r>
      <w:proofErr w:type="spellEnd"/>
      <w:r>
        <w:t xml:space="preserve"> sat tjelesne i zdravstvene kulture na otvorenom te </w:t>
      </w:r>
      <w:proofErr w:type="spellStart"/>
      <w:r>
        <w:t>FlashMOVE</w:t>
      </w:r>
      <w:proofErr w:type="spellEnd"/>
      <w:r>
        <w:t xml:space="preserve"> plesni događaj</w:t>
      </w:r>
    </w:p>
    <w:p w:rsidR="00BE2C99" w:rsidRDefault="005B7AC4">
      <w:pPr>
        <w:jc w:val="both"/>
      </w:pPr>
      <w:r>
        <w:rPr>
          <w:b/>
        </w:rPr>
        <w:t>Ključna promjena u 2025. godini:</w:t>
      </w:r>
    </w:p>
    <w:p w:rsidR="00BE2C99" w:rsidRDefault="005B7AC4">
      <w:pPr>
        <w:jc w:val="both"/>
      </w:pPr>
      <w:r>
        <w:br/>
        <w:t>Značajno povećanje ukupnih prihoda rezultat je nove računovodstvene obveze evident</w:t>
      </w:r>
      <w:r>
        <w:t>iranja vrijednosti primljenih cjepiva (458.882,27 EUR) kao prihoda. Također, vidljivo je udvostručenje potpore Grada Preloga za Festival nordijskog hodanja u 2025. godini.</w:t>
      </w:r>
    </w:p>
    <w:p w:rsidR="00BE2C99" w:rsidRDefault="00BE2C99"/>
    <w:p w:rsidR="00BE2C99" w:rsidRDefault="005B7AC4">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Ostvareno u izvještajnom </w:t>
            </w:r>
            <w:r>
              <w:rPr>
                <w:b/>
                <w:sz w:val="18"/>
              </w:rPr>
              <w:t>razdoblju prethodne godine</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5B7AC4">
            <w:pPr>
              <w:keepNext/>
              <w:keepLines/>
              <w:spacing w:after="0" w:line="240" w:lineRule="auto"/>
            </w:pPr>
            <w:r>
              <w:rPr>
                <w:sz w:val="18"/>
              </w:rPr>
              <w:t>6381</w:t>
            </w:r>
          </w:p>
        </w:tc>
        <w:tc>
          <w:tcPr>
            <w:tcW w:w="3180" w:type="dxa"/>
            <w:tcMar>
              <w:top w:w="0" w:type="dxa"/>
              <w:bottom w:w="0" w:type="dxa"/>
            </w:tcMar>
            <w:vAlign w:val="center"/>
          </w:tcPr>
          <w:p w:rsidR="00BE2C99" w:rsidRDefault="005B7AC4">
            <w:pPr>
              <w:keepNext/>
              <w:keepLines/>
              <w:spacing w:after="0" w:line="240" w:lineRule="auto"/>
            </w:pPr>
            <w:r>
              <w:rPr>
                <w:sz w:val="18"/>
              </w:rPr>
              <w:t>Tekuće pomoći temeljem prijenosa EU sredstava</w:t>
            </w:r>
          </w:p>
        </w:tc>
        <w:tc>
          <w:tcPr>
            <w:tcW w:w="700" w:type="dxa"/>
            <w:tcMar>
              <w:top w:w="0" w:type="dxa"/>
              <w:bottom w:w="0" w:type="dxa"/>
            </w:tcMar>
            <w:vAlign w:val="center"/>
          </w:tcPr>
          <w:p w:rsidR="00BE2C99" w:rsidRDefault="005B7AC4">
            <w:pPr>
              <w:keepNext/>
              <w:keepLines/>
              <w:spacing w:after="0" w:line="240" w:lineRule="auto"/>
            </w:pPr>
            <w:r>
              <w:rPr>
                <w:sz w:val="18"/>
              </w:rPr>
              <w:t>6381</w:t>
            </w:r>
          </w:p>
        </w:tc>
        <w:tc>
          <w:tcPr>
            <w:tcW w:w="1860" w:type="dxa"/>
            <w:tcMar>
              <w:top w:w="0" w:type="dxa"/>
              <w:bottom w:w="0" w:type="dxa"/>
            </w:tcMar>
            <w:vAlign w:val="center"/>
          </w:tcPr>
          <w:p w:rsidR="00BE2C99" w:rsidRDefault="005B7AC4">
            <w:pPr>
              <w:keepNext/>
              <w:keepLines/>
              <w:spacing w:after="0" w:line="240" w:lineRule="auto"/>
              <w:jc w:val="right"/>
            </w:pPr>
            <w:r>
              <w:rPr>
                <w:sz w:val="18"/>
              </w:rPr>
              <w:t>295.441,78</w:t>
            </w:r>
          </w:p>
        </w:tc>
        <w:tc>
          <w:tcPr>
            <w:tcW w:w="1860" w:type="dxa"/>
            <w:tcMar>
              <w:top w:w="0" w:type="dxa"/>
              <w:bottom w:w="0" w:type="dxa"/>
            </w:tcMar>
            <w:vAlign w:val="center"/>
          </w:tcPr>
          <w:p w:rsidR="00BE2C99" w:rsidRDefault="005B7AC4">
            <w:pPr>
              <w:keepNext/>
              <w:keepLines/>
              <w:spacing w:after="0" w:line="240" w:lineRule="auto"/>
              <w:jc w:val="right"/>
            </w:pPr>
            <w:r>
              <w:rPr>
                <w:sz w:val="18"/>
              </w:rPr>
              <w:t>85.703,36</w:t>
            </w:r>
          </w:p>
        </w:tc>
        <w:tc>
          <w:tcPr>
            <w:tcW w:w="700" w:type="dxa"/>
            <w:tcMar>
              <w:top w:w="0" w:type="dxa"/>
              <w:bottom w:w="0" w:type="dxa"/>
            </w:tcMar>
            <w:vAlign w:val="center"/>
          </w:tcPr>
          <w:p w:rsidR="00BE2C99" w:rsidRDefault="005B7AC4">
            <w:pPr>
              <w:keepNext/>
              <w:keepLines/>
              <w:spacing w:after="0" w:line="240" w:lineRule="auto"/>
              <w:jc w:val="right"/>
            </w:pPr>
            <w:r>
              <w:rPr>
                <w:sz w:val="18"/>
              </w:rPr>
              <w:t>29,0</w:t>
            </w:r>
          </w:p>
        </w:tc>
      </w:tr>
    </w:tbl>
    <w:p w:rsidR="00BE2C99" w:rsidRDefault="00BE2C99">
      <w:pPr>
        <w:spacing w:after="0"/>
      </w:pPr>
    </w:p>
    <w:p w:rsidR="00BE2C99" w:rsidRDefault="005B7AC4">
      <w:pPr>
        <w:jc w:val="both"/>
      </w:pPr>
      <w:r>
        <w:t>Prihodi se odnose na projekt „Financiranje specijalizacija ZZJZ Međimurske županije“ kojim se sufinanciraju plaće troje specijalizanata. Značajno odstupanje u prihodima između 2024. i 2025. godine rezultat je sljedećih čimbenika:</w:t>
      </w:r>
    </w:p>
    <w:p w:rsidR="00BE2C99" w:rsidRDefault="005B7AC4">
      <w:pPr>
        <w:jc w:val="both"/>
      </w:pPr>
      <w:r>
        <w:t>·         Retrogradna ispl</w:t>
      </w:r>
      <w:r>
        <w:t>ata u 2024.: Ugovor je sklopljen u rujnu 2023., a prva sredstva uplaćena su početkom 2024. godine. Ta je uplata obuhvatila troškove plaća retrogradno od 2020. godine, što je generiralo jednokratno visok prihod.</w:t>
      </w:r>
    </w:p>
    <w:p w:rsidR="00BE2C99" w:rsidRDefault="005B7AC4">
      <w:pPr>
        <w:jc w:val="both"/>
      </w:pPr>
      <w:r>
        <w:t>·         Redovno financiranje u 2025.: U 202</w:t>
      </w:r>
      <w:r>
        <w:t>5. godini ostvarena je redovna refundacija za plaće (razdoblje 12/2024. – 11/2025.).</w:t>
      </w:r>
    </w:p>
    <w:p w:rsidR="00BE2C99" w:rsidRDefault="005B7AC4">
      <w:pPr>
        <w:jc w:val="both"/>
      </w:pPr>
      <w:r>
        <w:t>·         Smanjenje broja specijalizacija: tijekom lipnja 2024. godine jedna je specijalizantica završila usavršavanje, dok je druga specijalizaciju završila u listopadu 2</w:t>
      </w:r>
      <w:r>
        <w:t>025. godine. Slijedom toga, od listopada 2025. godine kroz projekt se financiraju troškovi samo za jednu preostalu specijalizanticu.</w:t>
      </w:r>
    </w:p>
    <w:p w:rsidR="00BE2C99" w:rsidRDefault="00BE2C99"/>
    <w:p w:rsidR="00BE2C99" w:rsidRDefault="005B7AC4">
      <w:pPr>
        <w:keepNext/>
        <w:spacing w:line="240" w:lineRule="auto"/>
        <w:jc w:val="center"/>
      </w:pPr>
      <w:r>
        <w:rPr>
          <w:sz w:val="28"/>
        </w:rPr>
        <w:lastRenderedPageBreak/>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Ostvareno u </w:t>
            </w:r>
            <w:r>
              <w:rPr>
                <w:b/>
                <w:sz w:val="18"/>
              </w:rPr>
              <w:t>izvještajnom razdoblju tekuće godine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5B7AC4">
            <w:pPr>
              <w:keepNext/>
              <w:keepLines/>
              <w:spacing w:after="0" w:line="240" w:lineRule="auto"/>
            </w:pPr>
            <w:r>
              <w:rPr>
                <w:sz w:val="18"/>
              </w:rPr>
              <w:t>6393</w:t>
            </w:r>
          </w:p>
        </w:tc>
        <w:tc>
          <w:tcPr>
            <w:tcW w:w="3180" w:type="dxa"/>
            <w:tcMar>
              <w:top w:w="0" w:type="dxa"/>
              <w:bottom w:w="0" w:type="dxa"/>
            </w:tcMar>
            <w:vAlign w:val="center"/>
          </w:tcPr>
          <w:p w:rsidR="00BE2C99" w:rsidRDefault="005B7AC4">
            <w:pPr>
              <w:keepNext/>
              <w:keepLines/>
              <w:spacing w:after="0" w:line="240" w:lineRule="auto"/>
            </w:pPr>
            <w:r>
              <w:rPr>
                <w:sz w:val="18"/>
              </w:rPr>
              <w:t>Tekući prijenosi između proračunskih korisnika istog proračuna temeljem prijenosa EU sredstava</w:t>
            </w:r>
          </w:p>
        </w:tc>
        <w:tc>
          <w:tcPr>
            <w:tcW w:w="700" w:type="dxa"/>
            <w:tcMar>
              <w:top w:w="0" w:type="dxa"/>
              <w:bottom w:w="0" w:type="dxa"/>
            </w:tcMar>
            <w:vAlign w:val="center"/>
          </w:tcPr>
          <w:p w:rsidR="00BE2C99" w:rsidRDefault="005B7AC4">
            <w:pPr>
              <w:keepNext/>
              <w:keepLines/>
              <w:spacing w:after="0" w:line="240" w:lineRule="auto"/>
            </w:pPr>
            <w:r>
              <w:rPr>
                <w:sz w:val="18"/>
              </w:rPr>
              <w:t>6393</w:t>
            </w:r>
          </w:p>
        </w:tc>
        <w:tc>
          <w:tcPr>
            <w:tcW w:w="1860" w:type="dxa"/>
            <w:tcMar>
              <w:top w:w="0" w:type="dxa"/>
              <w:bottom w:w="0" w:type="dxa"/>
            </w:tcMar>
            <w:vAlign w:val="center"/>
          </w:tcPr>
          <w:p w:rsidR="00BE2C99" w:rsidRDefault="005B7AC4">
            <w:pPr>
              <w:keepNext/>
              <w:keepLines/>
              <w:spacing w:after="0" w:line="240" w:lineRule="auto"/>
              <w:jc w:val="right"/>
            </w:pPr>
            <w:r>
              <w:rPr>
                <w:sz w:val="18"/>
              </w:rPr>
              <w:t>0,00</w:t>
            </w:r>
          </w:p>
        </w:tc>
        <w:tc>
          <w:tcPr>
            <w:tcW w:w="1860" w:type="dxa"/>
            <w:tcMar>
              <w:top w:w="0" w:type="dxa"/>
              <w:bottom w:w="0" w:type="dxa"/>
            </w:tcMar>
            <w:vAlign w:val="center"/>
          </w:tcPr>
          <w:p w:rsidR="00BE2C99" w:rsidRDefault="005B7AC4">
            <w:pPr>
              <w:keepNext/>
              <w:keepLines/>
              <w:spacing w:after="0" w:line="240" w:lineRule="auto"/>
              <w:jc w:val="right"/>
            </w:pPr>
            <w:r>
              <w:rPr>
                <w:sz w:val="18"/>
              </w:rPr>
              <w:t>757,80</w:t>
            </w:r>
          </w:p>
        </w:tc>
        <w:tc>
          <w:tcPr>
            <w:tcW w:w="700" w:type="dxa"/>
            <w:tcMar>
              <w:top w:w="0" w:type="dxa"/>
              <w:bottom w:w="0" w:type="dxa"/>
            </w:tcMar>
            <w:vAlign w:val="center"/>
          </w:tcPr>
          <w:p w:rsidR="00BE2C99" w:rsidRDefault="005B7AC4">
            <w:pPr>
              <w:keepNext/>
              <w:keepLines/>
              <w:spacing w:after="0" w:line="240" w:lineRule="auto"/>
              <w:jc w:val="right"/>
            </w:pPr>
            <w:r>
              <w:rPr>
                <w:sz w:val="18"/>
              </w:rPr>
              <w:t>-</w:t>
            </w:r>
          </w:p>
        </w:tc>
      </w:tr>
    </w:tbl>
    <w:p w:rsidR="00BE2C99" w:rsidRDefault="00BE2C99">
      <w:pPr>
        <w:spacing w:after="0"/>
      </w:pPr>
    </w:p>
    <w:p w:rsidR="00BE2C99" w:rsidRDefault="005B7AC4">
      <w:pPr>
        <w:jc w:val="both"/>
      </w:pPr>
      <w:r>
        <w:t>U 2025. godini ostvaren je prihod temeljem Sporazuma o financiranju troškova putovanja nastalih za potrebe sudjelovanja u završnom događanju u okviru projekta SESE-</w:t>
      </w:r>
      <w:proofErr w:type="spellStart"/>
      <w:r>
        <w:t>Sharing</w:t>
      </w:r>
      <w:proofErr w:type="spellEnd"/>
      <w:r>
        <w:t xml:space="preserve"> </w:t>
      </w:r>
      <w:proofErr w:type="spellStart"/>
      <w:r>
        <w:t>European</w:t>
      </w:r>
      <w:proofErr w:type="spellEnd"/>
      <w:r>
        <w:t xml:space="preserve"> </w:t>
      </w:r>
      <w:proofErr w:type="spellStart"/>
      <w:r>
        <w:t>Sports</w:t>
      </w:r>
      <w:proofErr w:type="spellEnd"/>
      <w:r>
        <w:t xml:space="preserve"> </w:t>
      </w:r>
      <w:proofErr w:type="spellStart"/>
      <w:r>
        <w:t>Excellence</w:t>
      </w:r>
      <w:proofErr w:type="spellEnd"/>
      <w:r>
        <w:t xml:space="preserve"> financiranog u sklopu </w:t>
      </w:r>
      <w:proofErr w:type="spellStart"/>
      <w:r>
        <w:t>Erasmus</w:t>
      </w:r>
      <w:proofErr w:type="spellEnd"/>
      <w:r>
        <w:t>+ SPORT programa.</w:t>
      </w:r>
    </w:p>
    <w:p w:rsidR="00BE2C99" w:rsidRDefault="00BE2C99"/>
    <w:p w:rsidR="00BE2C99" w:rsidRDefault="005B7AC4">
      <w:pPr>
        <w:keepNext/>
        <w:spacing w:line="240" w:lineRule="auto"/>
        <w:jc w:val="center"/>
      </w:pPr>
      <w:r>
        <w:rPr>
          <w:sz w:val="28"/>
        </w:rPr>
        <w:t xml:space="preserve">Bilješka </w:t>
      </w:r>
      <w:r>
        <w:rPr>
          <w:sz w:val="28"/>
        </w:rPr>
        <w:t>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5B7AC4">
            <w:pPr>
              <w:keepNext/>
              <w:keepLines/>
              <w:spacing w:after="0" w:line="240" w:lineRule="auto"/>
            </w:pPr>
            <w:r>
              <w:rPr>
                <w:sz w:val="18"/>
              </w:rPr>
              <w:t>6413</w:t>
            </w:r>
          </w:p>
        </w:tc>
        <w:tc>
          <w:tcPr>
            <w:tcW w:w="3180" w:type="dxa"/>
            <w:tcMar>
              <w:top w:w="0" w:type="dxa"/>
              <w:bottom w:w="0" w:type="dxa"/>
            </w:tcMar>
            <w:vAlign w:val="center"/>
          </w:tcPr>
          <w:p w:rsidR="00BE2C99" w:rsidRDefault="005B7AC4">
            <w:pPr>
              <w:keepNext/>
              <w:keepLines/>
              <w:spacing w:after="0" w:line="240" w:lineRule="auto"/>
            </w:pPr>
            <w:r>
              <w:rPr>
                <w:sz w:val="18"/>
              </w:rPr>
              <w:t>Kamate na oročena sredstva i depozite po viđenju</w:t>
            </w:r>
          </w:p>
        </w:tc>
        <w:tc>
          <w:tcPr>
            <w:tcW w:w="700" w:type="dxa"/>
            <w:tcMar>
              <w:top w:w="0" w:type="dxa"/>
              <w:bottom w:w="0" w:type="dxa"/>
            </w:tcMar>
            <w:vAlign w:val="center"/>
          </w:tcPr>
          <w:p w:rsidR="00BE2C99" w:rsidRDefault="005B7AC4">
            <w:pPr>
              <w:keepNext/>
              <w:keepLines/>
              <w:spacing w:after="0" w:line="240" w:lineRule="auto"/>
            </w:pPr>
            <w:r>
              <w:rPr>
                <w:sz w:val="18"/>
              </w:rPr>
              <w:t>6413</w:t>
            </w:r>
          </w:p>
        </w:tc>
        <w:tc>
          <w:tcPr>
            <w:tcW w:w="1860" w:type="dxa"/>
            <w:tcMar>
              <w:top w:w="0" w:type="dxa"/>
              <w:bottom w:w="0" w:type="dxa"/>
            </w:tcMar>
            <w:vAlign w:val="center"/>
          </w:tcPr>
          <w:p w:rsidR="00BE2C99" w:rsidRDefault="005B7AC4">
            <w:pPr>
              <w:keepNext/>
              <w:keepLines/>
              <w:spacing w:after="0" w:line="240" w:lineRule="auto"/>
              <w:jc w:val="right"/>
            </w:pPr>
            <w:r>
              <w:rPr>
                <w:sz w:val="18"/>
              </w:rPr>
              <w:t>835,46</w:t>
            </w:r>
          </w:p>
        </w:tc>
        <w:tc>
          <w:tcPr>
            <w:tcW w:w="1860" w:type="dxa"/>
            <w:tcMar>
              <w:top w:w="0" w:type="dxa"/>
              <w:bottom w:w="0" w:type="dxa"/>
            </w:tcMar>
            <w:vAlign w:val="center"/>
          </w:tcPr>
          <w:p w:rsidR="00BE2C99" w:rsidRDefault="005B7AC4">
            <w:pPr>
              <w:keepNext/>
              <w:keepLines/>
              <w:spacing w:after="0" w:line="240" w:lineRule="auto"/>
              <w:jc w:val="right"/>
            </w:pPr>
            <w:r>
              <w:rPr>
                <w:sz w:val="18"/>
              </w:rPr>
              <w:t>209,01</w:t>
            </w:r>
          </w:p>
        </w:tc>
        <w:tc>
          <w:tcPr>
            <w:tcW w:w="700" w:type="dxa"/>
            <w:tcMar>
              <w:top w:w="0" w:type="dxa"/>
              <w:bottom w:w="0" w:type="dxa"/>
            </w:tcMar>
            <w:vAlign w:val="center"/>
          </w:tcPr>
          <w:p w:rsidR="00BE2C99" w:rsidRDefault="005B7AC4">
            <w:pPr>
              <w:keepNext/>
              <w:keepLines/>
              <w:spacing w:after="0" w:line="240" w:lineRule="auto"/>
              <w:jc w:val="right"/>
            </w:pPr>
            <w:r>
              <w:rPr>
                <w:sz w:val="18"/>
              </w:rPr>
              <w:t>25,0</w:t>
            </w:r>
          </w:p>
        </w:tc>
      </w:tr>
    </w:tbl>
    <w:p w:rsidR="00BE2C99" w:rsidRDefault="00BE2C99">
      <w:pPr>
        <w:spacing w:after="0"/>
      </w:pPr>
    </w:p>
    <w:p w:rsidR="00BE2C99" w:rsidRDefault="005B7AC4">
      <w:pPr>
        <w:jc w:val="both"/>
      </w:pPr>
      <w:r>
        <w:t>Po ovoj osnovi u 2025.g. ostvaren je manji prihod od kamata na depozite po viđenju zbog manjih sredstava na računu banke.</w:t>
      </w:r>
    </w:p>
    <w:p w:rsidR="00BE2C99" w:rsidRDefault="00BE2C99"/>
    <w:p w:rsidR="00BE2C99" w:rsidRDefault="005B7AC4">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Ostvareno u izvještajnom </w:t>
            </w:r>
            <w:r>
              <w:rPr>
                <w:b/>
                <w:sz w:val="18"/>
              </w:rPr>
              <w:t>razdoblju tekuće godine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5B7AC4">
            <w:pPr>
              <w:keepNext/>
              <w:keepLines/>
              <w:spacing w:after="0" w:line="240" w:lineRule="auto"/>
            </w:pPr>
            <w:r>
              <w:rPr>
                <w:sz w:val="18"/>
              </w:rPr>
              <w:t>6615</w:t>
            </w:r>
          </w:p>
        </w:tc>
        <w:tc>
          <w:tcPr>
            <w:tcW w:w="3180" w:type="dxa"/>
            <w:tcMar>
              <w:top w:w="0" w:type="dxa"/>
              <w:bottom w:w="0" w:type="dxa"/>
            </w:tcMar>
            <w:vAlign w:val="center"/>
          </w:tcPr>
          <w:p w:rsidR="00BE2C99" w:rsidRDefault="005B7AC4">
            <w:pPr>
              <w:keepNext/>
              <w:keepLines/>
              <w:spacing w:after="0" w:line="240" w:lineRule="auto"/>
            </w:pPr>
            <w:r>
              <w:rPr>
                <w:sz w:val="18"/>
              </w:rPr>
              <w:t>Prihodi od pruženih usluga</w:t>
            </w:r>
          </w:p>
        </w:tc>
        <w:tc>
          <w:tcPr>
            <w:tcW w:w="700" w:type="dxa"/>
            <w:tcMar>
              <w:top w:w="0" w:type="dxa"/>
              <w:bottom w:w="0" w:type="dxa"/>
            </w:tcMar>
            <w:vAlign w:val="center"/>
          </w:tcPr>
          <w:p w:rsidR="00BE2C99" w:rsidRDefault="005B7AC4">
            <w:pPr>
              <w:keepNext/>
              <w:keepLines/>
              <w:spacing w:after="0" w:line="240" w:lineRule="auto"/>
            </w:pPr>
            <w:r>
              <w:rPr>
                <w:sz w:val="18"/>
              </w:rPr>
              <w:t>6615</w:t>
            </w:r>
          </w:p>
        </w:tc>
        <w:tc>
          <w:tcPr>
            <w:tcW w:w="1860" w:type="dxa"/>
            <w:tcMar>
              <w:top w:w="0" w:type="dxa"/>
              <w:bottom w:w="0" w:type="dxa"/>
            </w:tcMar>
            <w:vAlign w:val="center"/>
          </w:tcPr>
          <w:p w:rsidR="00BE2C99" w:rsidRDefault="005B7AC4">
            <w:pPr>
              <w:keepNext/>
              <w:keepLines/>
              <w:spacing w:after="0" w:line="240" w:lineRule="auto"/>
              <w:jc w:val="right"/>
            </w:pPr>
            <w:r>
              <w:rPr>
                <w:sz w:val="18"/>
              </w:rPr>
              <w:t>832.003,28</w:t>
            </w:r>
          </w:p>
        </w:tc>
        <w:tc>
          <w:tcPr>
            <w:tcW w:w="1860" w:type="dxa"/>
            <w:tcMar>
              <w:top w:w="0" w:type="dxa"/>
              <w:bottom w:w="0" w:type="dxa"/>
            </w:tcMar>
            <w:vAlign w:val="center"/>
          </w:tcPr>
          <w:p w:rsidR="00BE2C99" w:rsidRDefault="005B7AC4">
            <w:pPr>
              <w:keepNext/>
              <w:keepLines/>
              <w:spacing w:after="0" w:line="240" w:lineRule="auto"/>
              <w:jc w:val="right"/>
            </w:pPr>
            <w:r>
              <w:rPr>
                <w:sz w:val="18"/>
              </w:rPr>
              <w:t>915.333,50</w:t>
            </w:r>
          </w:p>
        </w:tc>
        <w:tc>
          <w:tcPr>
            <w:tcW w:w="700" w:type="dxa"/>
            <w:tcMar>
              <w:top w:w="0" w:type="dxa"/>
              <w:bottom w:w="0" w:type="dxa"/>
            </w:tcMar>
            <w:vAlign w:val="center"/>
          </w:tcPr>
          <w:p w:rsidR="00BE2C99" w:rsidRDefault="005B7AC4">
            <w:pPr>
              <w:keepNext/>
              <w:keepLines/>
              <w:spacing w:after="0" w:line="240" w:lineRule="auto"/>
              <w:jc w:val="right"/>
            </w:pPr>
            <w:r>
              <w:rPr>
                <w:sz w:val="18"/>
              </w:rPr>
              <w:t>110,0</w:t>
            </w:r>
          </w:p>
        </w:tc>
      </w:tr>
    </w:tbl>
    <w:p w:rsidR="00BE2C99" w:rsidRDefault="00BE2C99">
      <w:pPr>
        <w:spacing w:after="0"/>
      </w:pPr>
    </w:p>
    <w:p w:rsidR="00BE2C99" w:rsidRDefault="005B7AC4">
      <w:pPr>
        <w:jc w:val="both"/>
      </w:pPr>
      <w:r>
        <w:t xml:space="preserve">U 2025. godini zabilježen je porast prihoda od pruženih usluga uslijed povećanog obujma fakturiranih usluga prema Županijskoj bolnici Čakovec kao i prihoda od analize parametara kućne </w:t>
      </w:r>
      <w:proofErr w:type="spellStart"/>
      <w:r>
        <w:t>vodoobskrbne</w:t>
      </w:r>
      <w:proofErr w:type="spellEnd"/>
      <w:r>
        <w:t xml:space="preserve"> mreže (analiza vode na </w:t>
      </w:r>
      <w:proofErr w:type="spellStart"/>
      <w:r>
        <w:t>legionele</w:t>
      </w:r>
      <w:proofErr w:type="spellEnd"/>
      <w:r>
        <w:t xml:space="preserve"> i olovo) obzirom da istu u</w:t>
      </w:r>
      <w:r>
        <w:t>slugu obavljamo od prosinca 2024. godine.</w:t>
      </w:r>
    </w:p>
    <w:p w:rsidR="00BE2C99" w:rsidRDefault="00BE2C99"/>
    <w:p w:rsidR="00BE2C99" w:rsidRDefault="005B7AC4">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5B7AC4">
            <w:pPr>
              <w:keepNext/>
              <w:keepLines/>
              <w:spacing w:after="0" w:line="240" w:lineRule="auto"/>
            </w:pPr>
            <w:r>
              <w:rPr>
                <w:sz w:val="18"/>
              </w:rPr>
              <w:t>6631</w:t>
            </w:r>
          </w:p>
        </w:tc>
        <w:tc>
          <w:tcPr>
            <w:tcW w:w="3180" w:type="dxa"/>
            <w:tcMar>
              <w:top w:w="0" w:type="dxa"/>
              <w:bottom w:w="0" w:type="dxa"/>
            </w:tcMar>
            <w:vAlign w:val="center"/>
          </w:tcPr>
          <w:p w:rsidR="00BE2C99" w:rsidRDefault="005B7AC4">
            <w:pPr>
              <w:keepNext/>
              <w:keepLines/>
              <w:spacing w:after="0" w:line="240" w:lineRule="auto"/>
            </w:pPr>
            <w:r>
              <w:rPr>
                <w:sz w:val="18"/>
              </w:rPr>
              <w:t>Tekuće donacije</w:t>
            </w:r>
          </w:p>
        </w:tc>
        <w:tc>
          <w:tcPr>
            <w:tcW w:w="700" w:type="dxa"/>
            <w:tcMar>
              <w:top w:w="0" w:type="dxa"/>
              <w:bottom w:w="0" w:type="dxa"/>
            </w:tcMar>
            <w:vAlign w:val="center"/>
          </w:tcPr>
          <w:p w:rsidR="00BE2C99" w:rsidRDefault="005B7AC4">
            <w:pPr>
              <w:keepNext/>
              <w:keepLines/>
              <w:spacing w:after="0" w:line="240" w:lineRule="auto"/>
            </w:pPr>
            <w:r>
              <w:rPr>
                <w:sz w:val="18"/>
              </w:rPr>
              <w:t>6631</w:t>
            </w:r>
          </w:p>
        </w:tc>
        <w:tc>
          <w:tcPr>
            <w:tcW w:w="1860" w:type="dxa"/>
            <w:tcMar>
              <w:top w:w="0" w:type="dxa"/>
              <w:bottom w:w="0" w:type="dxa"/>
            </w:tcMar>
            <w:vAlign w:val="center"/>
          </w:tcPr>
          <w:p w:rsidR="00BE2C99" w:rsidRDefault="005B7AC4">
            <w:pPr>
              <w:keepNext/>
              <w:keepLines/>
              <w:spacing w:after="0" w:line="240" w:lineRule="auto"/>
              <w:jc w:val="right"/>
            </w:pPr>
            <w:r>
              <w:rPr>
                <w:sz w:val="18"/>
              </w:rPr>
              <w:t>929,56</w:t>
            </w:r>
          </w:p>
        </w:tc>
        <w:tc>
          <w:tcPr>
            <w:tcW w:w="1860" w:type="dxa"/>
            <w:tcMar>
              <w:top w:w="0" w:type="dxa"/>
              <w:bottom w:w="0" w:type="dxa"/>
            </w:tcMar>
            <w:vAlign w:val="center"/>
          </w:tcPr>
          <w:p w:rsidR="00BE2C99" w:rsidRDefault="005B7AC4">
            <w:pPr>
              <w:keepNext/>
              <w:keepLines/>
              <w:spacing w:after="0" w:line="240" w:lineRule="auto"/>
              <w:jc w:val="right"/>
            </w:pPr>
            <w:r>
              <w:rPr>
                <w:sz w:val="18"/>
              </w:rPr>
              <w:t>3.014,38</w:t>
            </w:r>
          </w:p>
        </w:tc>
        <w:tc>
          <w:tcPr>
            <w:tcW w:w="700" w:type="dxa"/>
            <w:tcMar>
              <w:top w:w="0" w:type="dxa"/>
              <w:bottom w:w="0" w:type="dxa"/>
            </w:tcMar>
            <w:vAlign w:val="center"/>
          </w:tcPr>
          <w:p w:rsidR="00BE2C99" w:rsidRDefault="005B7AC4">
            <w:pPr>
              <w:keepNext/>
              <w:keepLines/>
              <w:spacing w:after="0" w:line="240" w:lineRule="auto"/>
              <w:jc w:val="right"/>
            </w:pPr>
            <w:r>
              <w:rPr>
                <w:sz w:val="18"/>
              </w:rPr>
              <w:t>324,3</w:t>
            </w:r>
          </w:p>
        </w:tc>
      </w:tr>
    </w:tbl>
    <w:p w:rsidR="00BE2C99" w:rsidRDefault="00BE2C99">
      <w:pPr>
        <w:spacing w:after="0"/>
      </w:pPr>
    </w:p>
    <w:p w:rsidR="00BE2C99" w:rsidRDefault="005B7AC4">
      <w:pPr>
        <w:jc w:val="both"/>
      </w:pPr>
      <w:r>
        <w:lastRenderedPageBreak/>
        <w:t>Tijekom 2024. godine tekuće donacije obuhvaćale su tlakomjere u sklopu projekta 'MMM' Hrvatske lige za hipertenziju, dok je za obilježavanje 10. Obljetnice nordijskog hodanja primljena novčana donacija fizičke osobe u iznosu od 500 EUR.</w:t>
      </w:r>
    </w:p>
    <w:p w:rsidR="00BE2C99" w:rsidRDefault="005B7AC4">
      <w:pPr>
        <w:jc w:val="both"/>
      </w:pPr>
      <w:r>
        <w:t>U 2025. godini od Ž</w:t>
      </w:r>
      <w:r>
        <w:t>upanijske lige protiv raka Čakovec primljeno je 30 HPV testova u vrijednosti od 1.614,38 EUR, financiranih sredstvima iz akcije 'Dan mimoza'.  Donacije u 2025. godini upotpunila je i uplata pravne osobe od 900 EUR za stručno usavršavanje te Hrvatska liječn</w:t>
      </w:r>
      <w:r>
        <w:t>ička komora koja je donirala 500 EUR za aktivnosti povodom Europskog tjedna sporta i Svjetskog dana srca.</w:t>
      </w:r>
    </w:p>
    <w:p w:rsidR="00BE2C99" w:rsidRDefault="00BE2C99"/>
    <w:p w:rsidR="00BE2C99" w:rsidRDefault="005B7AC4">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Ostvareno u izvještajnom razdoblju tekuće </w:t>
            </w:r>
            <w:r>
              <w:rPr>
                <w:b/>
                <w:sz w:val="18"/>
              </w:rPr>
              <w:t>godine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5B7AC4">
            <w:pPr>
              <w:keepNext/>
              <w:keepLines/>
              <w:spacing w:after="0" w:line="240" w:lineRule="auto"/>
            </w:pPr>
            <w:r>
              <w:rPr>
                <w:sz w:val="18"/>
              </w:rPr>
              <w:t>6632</w:t>
            </w:r>
          </w:p>
        </w:tc>
        <w:tc>
          <w:tcPr>
            <w:tcW w:w="3180" w:type="dxa"/>
            <w:tcMar>
              <w:top w:w="0" w:type="dxa"/>
              <w:bottom w:w="0" w:type="dxa"/>
            </w:tcMar>
            <w:vAlign w:val="center"/>
          </w:tcPr>
          <w:p w:rsidR="00BE2C99" w:rsidRDefault="005B7AC4">
            <w:pPr>
              <w:keepNext/>
              <w:keepLines/>
              <w:spacing w:after="0" w:line="240" w:lineRule="auto"/>
            </w:pPr>
            <w:r>
              <w:rPr>
                <w:sz w:val="18"/>
              </w:rPr>
              <w:t>Kapitalne donacije</w:t>
            </w:r>
          </w:p>
        </w:tc>
        <w:tc>
          <w:tcPr>
            <w:tcW w:w="700" w:type="dxa"/>
            <w:tcMar>
              <w:top w:w="0" w:type="dxa"/>
              <w:bottom w:w="0" w:type="dxa"/>
            </w:tcMar>
            <w:vAlign w:val="center"/>
          </w:tcPr>
          <w:p w:rsidR="00BE2C99" w:rsidRDefault="005B7AC4">
            <w:pPr>
              <w:keepNext/>
              <w:keepLines/>
              <w:spacing w:after="0" w:line="240" w:lineRule="auto"/>
            </w:pPr>
            <w:r>
              <w:rPr>
                <w:sz w:val="18"/>
              </w:rPr>
              <w:t>6632</w:t>
            </w:r>
          </w:p>
        </w:tc>
        <w:tc>
          <w:tcPr>
            <w:tcW w:w="1860" w:type="dxa"/>
            <w:tcMar>
              <w:top w:w="0" w:type="dxa"/>
              <w:bottom w:w="0" w:type="dxa"/>
            </w:tcMar>
            <w:vAlign w:val="center"/>
          </w:tcPr>
          <w:p w:rsidR="00BE2C99" w:rsidRDefault="005B7AC4">
            <w:pPr>
              <w:keepNext/>
              <w:keepLines/>
              <w:spacing w:after="0" w:line="240" w:lineRule="auto"/>
              <w:jc w:val="right"/>
            </w:pPr>
            <w:r>
              <w:rPr>
                <w:sz w:val="18"/>
              </w:rPr>
              <w:t>0,00</w:t>
            </w:r>
          </w:p>
        </w:tc>
        <w:tc>
          <w:tcPr>
            <w:tcW w:w="1860" w:type="dxa"/>
            <w:tcMar>
              <w:top w:w="0" w:type="dxa"/>
              <w:bottom w:w="0" w:type="dxa"/>
            </w:tcMar>
            <w:vAlign w:val="center"/>
          </w:tcPr>
          <w:p w:rsidR="00BE2C99" w:rsidRDefault="005B7AC4">
            <w:pPr>
              <w:keepNext/>
              <w:keepLines/>
              <w:spacing w:after="0" w:line="240" w:lineRule="auto"/>
              <w:jc w:val="right"/>
            </w:pPr>
            <w:r>
              <w:rPr>
                <w:sz w:val="18"/>
              </w:rPr>
              <w:t>750,00</w:t>
            </w:r>
          </w:p>
        </w:tc>
        <w:tc>
          <w:tcPr>
            <w:tcW w:w="700" w:type="dxa"/>
            <w:tcMar>
              <w:top w:w="0" w:type="dxa"/>
              <w:bottom w:w="0" w:type="dxa"/>
            </w:tcMar>
            <w:vAlign w:val="center"/>
          </w:tcPr>
          <w:p w:rsidR="00BE2C99" w:rsidRDefault="005B7AC4">
            <w:pPr>
              <w:keepNext/>
              <w:keepLines/>
              <w:spacing w:after="0" w:line="240" w:lineRule="auto"/>
              <w:jc w:val="right"/>
            </w:pPr>
            <w:r>
              <w:rPr>
                <w:sz w:val="18"/>
              </w:rPr>
              <w:t>-</w:t>
            </w:r>
          </w:p>
        </w:tc>
      </w:tr>
    </w:tbl>
    <w:p w:rsidR="00BE2C99" w:rsidRDefault="00BE2C99">
      <w:pPr>
        <w:spacing w:after="0"/>
      </w:pPr>
    </w:p>
    <w:p w:rsidR="00BE2C99" w:rsidRDefault="005B7AC4">
      <w:r>
        <w:t xml:space="preserve">U 2025. godini materijalna imovina Zavoda uvećana je i kroz nekoliko  donacija u naravi. Temeljem ugovora o partnerstvu na programu „Mali svijet“, Društvo </w:t>
      </w:r>
      <w:proofErr w:type="spellStart"/>
      <w:r>
        <w:t>multiple</w:t>
      </w:r>
      <w:proofErr w:type="spellEnd"/>
      <w:r>
        <w:t xml:space="preserve"> skleroze Međimurske županije doniralo je </w:t>
      </w:r>
      <w:proofErr w:type="spellStart"/>
      <w:r>
        <w:t>laptop</w:t>
      </w:r>
      <w:proofErr w:type="spellEnd"/>
      <w:r>
        <w:t xml:space="preserve">, dok je od fizičke osobe primljena donacija </w:t>
      </w:r>
      <w:r>
        <w:t>dva rabljena monitora. Također, povodom obilježavanja  30. Obljetnice rada Zavoda, primljena je i donacija umjetničke slike.</w:t>
      </w:r>
    </w:p>
    <w:p w:rsidR="00BE2C99" w:rsidRDefault="00BE2C99"/>
    <w:p w:rsidR="00BE2C99" w:rsidRDefault="005B7AC4">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Ostvareno u izvještajnom </w:t>
            </w:r>
            <w:r>
              <w:rPr>
                <w:b/>
                <w:sz w:val="18"/>
              </w:rPr>
              <w:t>razdoblju tekuće godine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5B7AC4">
            <w:pPr>
              <w:keepNext/>
              <w:keepLines/>
              <w:spacing w:after="0" w:line="240" w:lineRule="auto"/>
            </w:pPr>
            <w:r>
              <w:rPr>
                <w:sz w:val="18"/>
              </w:rPr>
              <w:t>6712</w:t>
            </w:r>
          </w:p>
        </w:tc>
        <w:tc>
          <w:tcPr>
            <w:tcW w:w="3180" w:type="dxa"/>
            <w:tcMar>
              <w:top w:w="0" w:type="dxa"/>
              <w:bottom w:w="0" w:type="dxa"/>
            </w:tcMar>
            <w:vAlign w:val="center"/>
          </w:tcPr>
          <w:p w:rsidR="00BE2C99" w:rsidRDefault="005B7AC4">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rsidR="00BE2C99" w:rsidRDefault="005B7AC4">
            <w:pPr>
              <w:keepNext/>
              <w:keepLines/>
              <w:spacing w:after="0" w:line="240" w:lineRule="auto"/>
            </w:pPr>
            <w:r>
              <w:rPr>
                <w:sz w:val="18"/>
              </w:rPr>
              <w:t>6712</w:t>
            </w:r>
          </w:p>
        </w:tc>
        <w:tc>
          <w:tcPr>
            <w:tcW w:w="1860" w:type="dxa"/>
            <w:tcMar>
              <w:top w:w="0" w:type="dxa"/>
              <w:bottom w:w="0" w:type="dxa"/>
            </w:tcMar>
            <w:vAlign w:val="center"/>
          </w:tcPr>
          <w:p w:rsidR="00BE2C99" w:rsidRDefault="005B7AC4">
            <w:pPr>
              <w:keepNext/>
              <w:keepLines/>
              <w:spacing w:after="0" w:line="240" w:lineRule="auto"/>
              <w:jc w:val="right"/>
            </w:pPr>
            <w:r>
              <w:rPr>
                <w:sz w:val="18"/>
              </w:rPr>
              <w:t>101.983,68</w:t>
            </w:r>
          </w:p>
        </w:tc>
        <w:tc>
          <w:tcPr>
            <w:tcW w:w="1860" w:type="dxa"/>
            <w:tcMar>
              <w:top w:w="0" w:type="dxa"/>
              <w:bottom w:w="0" w:type="dxa"/>
            </w:tcMar>
            <w:vAlign w:val="center"/>
          </w:tcPr>
          <w:p w:rsidR="00BE2C99" w:rsidRDefault="005B7AC4">
            <w:pPr>
              <w:keepNext/>
              <w:keepLines/>
              <w:spacing w:after="0" w:line="240" w:lineRule="auto"/>
              <w:jc w:val="right"/>
            </w:pPr>
            <w:r>
              <w:rPr>
                <w:sz w:val="18"/>
              </w:rPr>
              <w:t>114.975,88</w:t>
            </w:r>
          </w:p>
        </w:tc>
        <w:tc>
          <w:tcPr>
            <w:tcW w:w="700" w:type="dxa"/>
            <w:tcMar>
              <w:top w:w="0" w:type="dxa"/>
              <w:bottom w:w="0" w:type="dxa"/>
            </w:tcMar>
            <w:vAlign w:val="center"/>
          </w:tcPr>
          <w:p w:rsidR="00BE2C99" w:rsidRDefault="005B7AC4">
            <w:pPr>
              <w:keepNext/>
              <w:keepLines/>
              <w:spacing w:after="0" w:line="240" w:lineRule="auto"/>
              <w:jc w:val="right"/>
            </w:pPr>
            <w:r>
              <w:rPr>
                <w:sz w:val="18"/>
              </w:rPr>
              <w:t>112,7</w:t>
            </w:r>
          </w:p>
        </w:tc>
      </w:tr>
    </w:tbl>
    <w:p w:rsidR="00BE2C99" w:rsidRDefault="00BE2C99">
      <w:pPr>
        <w:spacing w:after="0"/>
      </w:pPr>
    </w:p>
    <w:p w:rsidR="00BE2C99" w:rsidRDefault="005B7AC4">
      <w:pPr>
        <w:jc w:val="both"/>
      </w:pPr>
      <w:r>
        <w:t>Po ovoj osnovi u  2025. godini  ostvaren je veći prihod zbog više odobrenih sredstava za decentralizirane funkcije u sustavu zdravstva. </w:t>
      </w:r>
    </w:p>
    <w:p w:rsidR="00BE2C99" w:rsidRDefault="00BE2C99"/>
    <w:p w:rsidR="00BE2C99" w:rsidRDefault="005B7AC4">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w:t>
            </w:r>
            <w:r>
              <w:rPr>
                <w:b/>
                <w:sz w:val="18"/>
              </w:rPr>
              <w:t>ještajnom razdoblju tekuće godine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5B7AC4">
            <w:pPr>
              <w:keepNext/>
              <w:keepLines/>
              <w:spacing w:after="0" w:line="240" w:lineRule="auto"/>
            </w:pPr>
            <w:r>
              <w:rPr>
                <w:sz w:val="18"/>
              </w:rPr>
              <w:t>673</w:t>
            </w:r>
          </w:p>
        </w:tc>
        <w:tc>
          <w:tcPr>
            <w:tcW w:w="3180" w:type="dxa"/>
            <w:tcMar>
              <w:top w:w="0" w:type="dxa"/>
              <w:bottom w:w="0" w:type="dxa"/>
            </w:tcMar>
            <w:vAlign w:val="center"/>
          </w:tcPr>
          <w:p w:rsidR="00BE2C99" w:rsidRDefault="005B7AC4">
            <w:pPr>
              <w:keepNext/>
              <w:keepLines/>
              <w:spacing w:after="0" w:line="240" w:lineRule="auto"/>
            </w:pPr>
            <w:r>
              <w:rPr>
                <w:sz w:val="18"/>
              </w:rPr>
              <w:t>Prihodi od HZZO-a na temelju ugovornih obveza</w:t>
            </w:r>
          </w:p>
        </w:tc>
        <w:tc>
          <w:tcPr>
            <w:tcW w:w="700" w:type="dxa"/>
            <w:tcMar>
              <w:top w:w="0" w:type="dxa"/>
              <w:bottom w:w="0" w:type="dxa"/>
            </w:tcMar>
            <w:vAlign w:val="center"/>
          </w:tcPr>
          <w:p w:rsidR="00BE2C99" w:rsidRDefault="005B7AC4">
            <w:pPr>
              <w:keepNext/>
              <w:keepLines/>
              <w:spacing w:after="0" w:line="240" w:lineRule="auto"/>
            </w:pPr>
            <w:r>
              <w:rPr>
                <w:sz w:val="18"/>
              </w:rPr>
              <w:t>673</w:t>
            </w:r>
          </w:p>
        </w:tc>
        <w:tc>
          <w:tcPr>
            <w:tcW w:w="1860" w:type="dxa"/>
            <w:tcMar>
              <w:top w:w="0" w:type="dxa"/>
              <w:bottom w:w="0" w:type="dxa"/>
            </w:tcMar>
            <w:vAlign w:val="center"/>
          </w:tcPr>
          <w:p w:rsidR="00BE2C99" w:rsidRDefault="005B7AC4">
            <w:pPr>
              <w:keepNext/>
              <w:keepLines/>
              <w:spacing w:after="0" w:line="240" w:lineRule="auto"/>
              <w:jc w:val="right"/>
            </w:pPr>
            <w:r>
              <w:rPr>
                <w:sz w:val="18"/>
              </w:rPr>
              <w:t>1.753.329,26</w:t>
            </w:r>
          </w:p>
        </w:tc>
        <w:tc>
          <w:tcPr>
            <w:tcW w:w="1860" w:type="dxa"/>
            <w:tcMar>
              <w:top w:w="0" w:type="dxa"/>
              <w:bottom w:w="0" w:type="dxa"/>
            </w:tcMar>
            <w:vAlign w:val="center"/>
          </w:tcPr>
          <w:p w:rsidR="00BE2C99" w:rsidRDefault="005B7AC4">
            <w:pPr>
              <w:keepNext/>
              <w:keepLines/>
              <w:spacing w:after="0" w:line="240" w:lineRule="auto"/>
              <w:jc w:val="right"/>
            </w:pPr>
            <w:r>
              <w:rPr>
                <w:sz w:val="18"/>
              </w:rPr>
              <w:t>2.190.837,23</w:t>
            </w:r>
          </w:p>
        </w:tc>
        <w:tc>
          <w:tcPr>
            <w:tcW w:w="700" w:type="dxa"/>
            <w:tcMar>
              <w:top w:w="0" w:type="dxa"/>
              <w:bottom w:w="0" w:type="dxa"/>
            </w:tcMar>
            <w:vAlign w:val="center"/>
          </w:tcPr>
          <w:p w:rsidR="00BE2C99" w:rsidRDefault="005B7AC4">
            <w:pPr>
              <w:keepNext/>
              <w:keepLines/>
              <w:spacing w:after="0" w:line="240" w:lineRule="auto"/>
              <w:jc w:val="right"/>
            </w:pPr>
            <w:r>
              <w:rPr>
                <w:sz w:val="18"/>
              </w:rPr>
              <w:t>125,0</w:t>
            </w:r>
          </w:p>
        </w:tc>
      </w:tr>
    </w:tbl>
    <w:p w:rsidR="00BE2C99" w:rsidRDefault="00BE2C99">
      <w:pPr>
        <w:spacing w:after="0"/>
      </w:pPr>
    </w:p>
    <w:p w:rsidR="00BE2C99" w:rsidRDefault="005B7AC4">
      <w:pPr>
        <w:jc w:val="both"/>
      </w:pPr>
      <w:r>
        <w:lastRenderedPageBreak/>
        <w:t>Prihodi od HZZO-a na temelju ugovornih obveza veći su za 25 % iz razloga ugovornog povećanja vrijednosti primarne zdravstvene zaštite iz obveznog zdravstvenog osiguranja prema vrsti zdravstvene   zaštite: higijensko-epidemiološke, preventivno-odgojnih mjer</w:t>
      </w:r>
      <w:r>
        <w:t>a zdravstvene zaštite školske djece i studenata, provođenje javnog zdravstva i zdravstvena zaštita mentalnog zdravlja, prevencije i izvanbolničkog liječenja ovisnika. Uz redovne prihode, u 2025. godini naplaćen je dospjeli dug HZZO-a za mikrobiološke uslug</w:t>
      </w:r>
      <w:r>
        <w:t>e iz 2024. godine u iznosu od 47-</w:t>
      </w:r>
      <w:proofErr w:type="spellStart"/>
      <w:r>
        <w:t>tis</w:t>
      </w:r>
      <w:proofErr w:type="spellEnd"/>
      <w:r>
        <w:t xml:space="preserve"> EUR, kao i dodatnih 33-</w:t>
      </w:r>
      <w:proofErr w:type="spellStart"/>
      <w:r>
        <w:t>tis</w:t>
      </w:r>
      <w:proofErr w:type="spellEnd"/>
      <w:r>
        <w:t xml:space="preserve"> EUR temeljem odluke o financiranju dijela prekoračenja limita za 2024. godinu.</w:t>
      </w:r>
    </w:p>
    <w:p w:rsidR="00BE2C99" w:rsidRDefault="00BE2C99"/>
    <w:p w:rsidR="00BE2C99" w:rsidRDefault="005B7AC4">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w:t>
            </w:r>
            <w:r>
              <w:rPr>
                <w:b/>
                <w:sz w:val="18"/>
              </w:rPr>
              <w:t xml:space="preserve"> u izvještajnom razdoblju tekuće godine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5B7AC4">
            <w:pPr>
              <w:keepNext/>
              <w:keepLines/>
              <w:spacing w:after="0" w:line="240" w:lineRule="auto"/>
            </w:pPr>
            <w:r>
              <w:rPr>
                <w:sz w:val="18"/>
              </w:rPr>
              <w:t>683</w:t>
            </w:r>
          </w:p>
        </w:tc>
        <w:tc>
          <w:tcPr>
            <w:tcW w:w="3180" w:type="dxa"/>
            <w:tcMar>
              <w:top w:w="0" w:type="dxa"/>
              <w:bottom w:w="0" w:type="dxa"/>
            </w:tcMar>
            <w:vAlign w:val="center"/>
          </w:tcPr>
          <w:p w:rsidR="00BE2C99" w:rsidRDefault="005B7AC4">
            <w:pPr>
              <w:keepNext/>
              <w:keepLines/>
              <w:spacing w:after="0" w:line="240" w:lineRule="auto"/>
            </w:pPr>
            <w:r>
              <w:rPr>
                <w:sz w:val="18"/>
              </w:rPr>
              <w:t>Ostali prihodi</w:t>
            </w:r>
          </w:p>
        </w:tc>
        <w:tc>
          <w:tcPr>
            <w:tcW w:w="700" w:type="dxa"/>
            <w:tcMar>
              <w:top w:w="0" w:type="dxa"/>
              <w:bottom w:w="0" w:type="dxa"/>
            </w:tcMar>
            <w:vAlign w:val="center"/>
          </w:tcPr>
          <w:p w:rsidR="00BE2C99" w:rsidRDefault="005B7AC4">
            <w:pPr>
              <w:keepNext/>
              <w:keepLines/>
              <w:spacing w:after="0" w:line="240" w:lineRule="auto"/>
            </w:pPr>
            <w:r>
              <w:rPr>
                <w:sz w:val="18"/>
              </w:rPr>
              <w:t>683</w:t>
            </w:r>
          </w:p>
        </w:tc>
        <w:tc>
          <w:tcPr>
            <w:tcW w:w="1860" w:type="dxa"/>
            <w:tcMar>
              <w:top w:w="0" w:type="dxa"/>
              <w:bottom w:w="0" w:type="dxa"/>
            </w:tcMar>
            <w:vAlign w:val="center"/>
          </w:tcPr>
          <w:p w:rsidR="00BE2C99" w:rsidRDefault="005B7AC4">
            <w:pPr>
              <w:keepNext/>
              <w:keepLines/>
              <w:spacing w:after="0" w:line="240" w:lineRule="auto"/>
              <w:jc w:val="right"/>
            </w:pPr>
            <w:r>
              <w:rPr>
                <w:sz w:val="18"/>
              </w:rPr>
              <w:t>6.563,52</w:t>
            </w:r>
          </w:p>
        </w:tc>
        <w:tc>
          <w:tcPr>
            <w:tcW w:w="1860" w:type="dxa"/>
            <w:tcMar>
              <w:top w:w="0" w:type="dxa"/>
              <w:bottom w:w="0" w:type="dxa"/>
            </w:tcMar>
            <w:vAlign w:val="center"/>
          </w:tcPr>
          <w:p w:rsidR="00BE2C99" w:rsidRDefault="005B7AC4">
            <w:pPr>
              <w:keepNext/>
              <w:keepLines/>
              <w:spacing w:after="0" w:line="240" w:lineRule="auto"/>
              <w:jc w:val="right"/>
            </w:pPr>
            <w:r>
              <w:rPr>
                <w:sz w:val="18"/>
              </w:rPr>
              <w:t>0,00</w:t>
            </w:r>
          </w:p>
        </w:tc>
        <w:tc>
          <w:tcPr>
            <w:tcW w:w="700" w:type="dxa"/>
            <w:tcMar>
              <w:top w:w="0" w:type="dxa"/>
              <w:bottom w:w="0" w:type="dxa"/>
            </w:tcMar>
            <w:vAlign w:val="center"/>
          </w:tcPr>
          <w:p w:rsidR="00BE2C99" w:rsidRDefault="005B7AC4">
            <w:pPr>
              <w:keepNext/>
              <w:keepLines/>
              <w:spacing w:after="0" w:line="240" w:lineRule="auto"/>
              <w:jc w:val="right"/>
            </w:pPr>
            <w:r>
              <w:rPr>
                <w:sz w:val="18"/>
              </w:rPr>
              <w:t>0</w:t>
            </w:r>
          </w:p>
        </w:tc>
      </w:tr>
    </w:tbl>
    <w:p w:rsidR="00BE2C99" w:rsidRDefault="00BE2C99">
      <w:pPr>
        <w:spacing w:after="0"/>
      </w:pPr>
    </w:p>
    <w:p w:rsidR="00BE2C99" w:rsidRDefault="005B7AC4">
      <w:r>
        <w:t>Navedeni prihod u 2024. godini čini refundacija režijskih troškova iz prethodnih godina od strane Županijske bolnice Čakovec a sukladno sporazumu. </w:t>
      </w:r>
    </w:p>
    <w:p w:rsidR="00BE2C99" w:rsidRDefault="00BE2C99"/>
    <w:p w:rsidR="00BE2C99" w:rsidRDefault="005B7AC4">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5B7AC4">
            <w:pPr>
              <w:keepNext/>
              <w:keepLines/>
              <w:spacing w:after="0" w:line="240" w:lineRule="auto"/>
            </w:pPr>
            <w:r>
              <w:rPr>
                <w:sz w:val="18"/>
              </w:rPr>
              <w:t>3111</w:t>
            </w:r>
          </w:p>
        </w:tc>
        <w:tc>
          <w:tcPr>
            <w:tcW w:w="3180" w:type="dxa"/>
            <w:tcMar>
              <w:top w:w="0" w:type="dxa"/>
              <w:bottom w:w="0" w:type="dxa"/>
            </w:tcMar>
            <w:vAlign w:val="center"/>
          </w:tcPr>
          <w:p w:rsidR="00BE2C99" w:rsidRDefault="005B7AC4">
            <w:pPr>
              <w:keepNext/>
              <w:keepLines/>
              <w:spacing w:after="0" w:line="240" w:lineRule="auto"/>
            </w:pPr>
            <w:r>
              <w:rPr>
                <w:sz w:val="18"/>
              </w:rPr>
              <w:t>Plaće za redovan rad</w:t>
            </w:r>
          </w:p>
        </w:tc>
        <w:tc>
          <w:tcPr>
            <w:tcW w:w="700" w:type="dxa"/>
            <w:tcMar>
              <w:top w:w="0" w:type="dxa"/>
              <w:bottom w:w="0" w:type="dxa"/>
            </w:tcMar>
            <w:vAlign w:val="center"/>
          </w:tcPr>
          <w:p w:rsidR="00BE2C99" w:rsidRDefault="005B7AC4">
            <w:pPr>
              <w:keepNext/>
              <w:keepLines/>
              <w:spacing w:after="0" w:line="240" w:lineRule="auto"/>
            </w:pPr>
            <w:r>
              <w:rPr>
                <w:sz w:val="18"/>
              </w:rPr>
              <w:t>3111</w:t>
            </w:r>
          </w:p>
        </w:tc>
        <w:tc>
          <w:tcPr>
            <w:tcW w:w="1860" w:type="dxa"/>
            <w:tcMar>
              <w:top w:w="0" w:type="dxa"/>
              <w:bottom w:w="0" w:type="dxa"/>
            </w:tcMar>
            <w:vAlign w:val="center"/>
          </w:tcPr>
          <w:p w:rsidR="00BE2C99" w:rsidRDefault="005B7AC4">
            <w:pPr>
              <w:keepNext/>
              <w:keepLines/>
              <w:spacing w:after="0" w:line="240" w:lineRule="auto"/>
              <w:jc w:val="right"/>
            </w:pPr>
            <w:r>
              <w:rPr>
                <w:sz w:val="18"/>
              </w:rPr>
              <w:t>1.784.614,70</w:t>
            </w:r>
          </w:p>
        </w:tc>
        <w:tc>
          <w:tcPr>
            <w:tcW w:w="1860" w:type="dxa"/>
            <w:tcMar>
              <w:top w:w="0" w:type="dxa"/>
              <w:bottom w:w="0" w:type="dxa"/>
            </w:tcMar>
            <w:vAlign w:val="center"/>
          </w:tcPr>
          <w:p w:rsidR="00BE2C99" w:rsidRDefault="005B7AC4">
            <w:pPr>
              <w:keepNext/>
              <w:keepLines/>
              <w:spacing w:after="0" w:line="240" w:lineRule="auto"/>
              <w:jc w:val="right"/>
            </w:pPr>
            <w:r>
              <w:rPr>
                <w:sz w:val="18"/>
              </w:rPr>
              <w:t>2.066.779,23</w:t>
            </w:r>
          </w:p>
        </w:tc>
        <w:tc>
          <w:tcPr>
            <w:tcW w:w="700" w:type="dxa"/>
            <w:tcMar>
              <w:top w:w="0" w:type="dxa"/>
              <w:bottom w:w="0" w:type="dxa"/>
            </w:tcMar>
            <w:vAlign w:val="center"/>
          </w:tcPr>
          <w:p w:rsidR="00BE2C99" w:rsidRDefault="005B7AC4">
            <w:pPr>
              <w:keepNext/>
              <w:keepLines/>
              <w:spacing w:after="0" w:line="240" w:lineRule="auto"/>
              <w:jc w:val="right"/>
            </w:pPr>
            <w:r>
              <w:rPr>
                <w:sz w:val="18"/>
              </w:rPr>
              <w:t>115,8</w:t>
            </w:r>
          </w:p>
        </w:tc>
      </w:tr>
    </w:tbl>
    <w:p w:rsidR="00BE2C99" w:rsidRDefault="00BE2C99">
      <w:pPr>
        <w:spacing w:after="0"/>
      </w:pPr>
    </w:p>
    <w:p w:rsidR="00BE2C99" w:rsidRDefault="005B7AC4">
      <w:pPr>
        <w:jc w:val="both"/>
      </w:pPr>
      <w:r>
        <w:t>Porast rashoda za bruto plaće u 2025. godini uzrokovan je prvenstveno zakonskim povećanjem osnovice u dva navrata (po 3 % u veljači i rujnu 2025. godine). Dodatni razlog povećanja troškova je primjena nove Uredbe o koeficijentima u javnim službama iz ožujk</w:t>
      </w:r>
      <w:r>
        <w:t>a 2024. godine, koja je donijela značajno povoljnije koeficijente za izračun plaća djelatnika, čiji se puni fiskalni učinak na godišnjoj razini najjasnije očituje u 2025. godini.</w:t>
      </w:r>
    </w:p>
    <w:p w:rsidR="00BE2C99" w:rsidRDefault="00BE2C99"/>
    <w:p w:rsidR="00BE2C99" w:rsidRDefault="005B7AC4">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Ostvareno u izvještajnom </w:t>
            </w:r>
            <w:r>
              <w:rPr>
                <w:b/>
                <w:sz w:val="18"/>
              </w:rPr>
              <w:t>razdoblju prethodne godine</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5B7AC4">
            <w:pPr>
              <w:keepNext/>
              <w:keepLines/>
              <w:spacing w:after="0" w:line="240" w:lineRule="auto"/>
            </w:pPr>
            <w:r>
              <w:rPr>
                <w:sz w:val="18"/>
              </w:rPr>
              <w:t>3114</w:t>
            </w:r>
          </w:p>
        </w:tc>
        <w:tc>
          <w:tcPr>
            <w:tcW w:w="3180" w:type="dxa"/>
            <w:tcMar>
              <w:top w:w="0" w:type="dxa"/>
              <w:bottom w:w="0" w:type="dxa"/>
            </w:tcMar>
            <w:vAlign w:val="center"/>
          </w:tcPr>
          <w:p w:rsidR="00BE2C99" w:rsidRDefault="005B7AC4">
            <w:pPr>
              <w:keepNext/>
              <w:keepLines/>
              <w:spacing w:after="0" w:line="240" w:lineRule="auto"/>
            </w:pPr>
            <w:r>
              <w:rPr>
                <w:sz w:val="18"/>
              </w:rPr>
              <w:t>Plaće za posebne uvjete rada</w:t>
            </w:r>
          </w:p>
        </w:tc>
        <w:tc>
          <w:tcPr>
            <w:tcW w:w="700" w:type="dxa"/>
            <w:tcMar>
              <w:top w:w="0" w:type="dxa"/>
              <w:bottom w:w="0" w:type="dxa"/>
            </w:tcMar>
            <w:vAlign w:val="center"/>
          </w:tcPr>
          <w:p w:rsidR="00BE2C99" w:rsidRDefault="005B7AC4">
            <w:pPr>
              <w:keepNext/>
              <w:keepLines/>
              <w:spacing w:after="0" w:line="240" w:lineRule="auto"/>
            </w:pPr>
            <w:r>
              <w:rPr>
                <w:sz w:val="18"/>
              </w:rPr>
              <w:t>3114</w:t>
            </w:r>
          </w:p>
        </w:tc>
        <w:tc>
          <w:tcPr>
            <w:tcW w:w="1860" w:type="dxa"/>
            <w:tcMar>
              <w:top w:w="0" w:type="dxa"/>
              <w:bottom w:w="0" w:type="dxa"/>
            </w:tcMar>
            <w:vAlign w:val="center"/>
          </w:tcPr>
          <w:p w:rsidR="00BE2C99" w:rsidRDefault="005B7AC4">
            <w:pPr>
              <w:keepNext/>
              <w:keepLines/>
              <w:spacing w:after="0" w:line="240" w:lineRule="auto"/>
              <w:jc w:val="right"/>
            </w:pPr>
            <w:r>
              <w:rPr>
                <w:sz w:val="18"/>
              </w:rPr>
              <w:t>30.560,28</w:t>
            </w:r>
          </w:p>
        </w:tc>
        <w:tc>
          <w:tcPr>
            <w:tcW w:w="1860" w:type="dxa"/>
            <w:tcMar>
              <w:top w:w="0" w:type="dxa"/>
              <w:bottom w:w="0" w:type="dxa"/>
            </w:tcMar>
            <w:vAlign w:val="center"/>
          </w:tcPr>
          <w:p w:rsidR="00BE2C99" w:rsidRDefault="005B7AC4">
            <w:pPr>
              <w:keepNext/>
              <w:keepLines/>
              <w:spacing w:after="0" w:line="240" w:lineRule="auto"/>
              <w:jc w:val="right"/>
            </w:pPr>
            <w:r>
              <w:rPr>
                <w:sz w:val="18"/>
              </w:rPr>
              <w:t>0,00</w:t>
            </w:r>
          </w:p>
        </w:tc>
        <w:tc>
          <w:tcPr>
            <w:tcW w:w="700" w:type="dxa"/>
            <w:tcMar>
              <w:top w:w="0" w:type="dxa"/>
              <w:bottom w:w="0" w:type="dxa"/>
            </w:tcMar>
            <w:vAlign w:val="center"/>
          </w:tcPr>
          <w:p w:rsidR="00BE2C99" w:rsidRDefault="005B7AC4">
            <w:pPr>
              <w:keepNext/>
              <w:keepLines/>
              <w:spacing w:after="0" w:line="240" w:lineRule="auto"/>
              <w:jc w:val="right"/>
            </w:pPr>
            <w:r>
              <w:rPr>
                <w:sz w:val="18"/>
              </w:rPr>
              <w:t>0</w:t>
            </w:r>
          </w:p>
        </w:tc>
      </w:tr>
    </w:tbl>
    <w:p w:rsidR="00BE2C99" w:rsidRDefault="00BE2C99">
      <w:pPr>
        <w:spacing w:after="0"/>
      </w:pPr>
    </w:p>
    <w:p w:rsidR="00BE2C99" w:rsidRDefault="005B7AC4">
      <w:r>
        <w:t xml:space="preserve">Rashodi po osnovi dodatka na posebne uvjete rada nisu zabilježeni u 2025. godini. Navedeni dodatak ukinut je u ožujku 2024. godine stupanjem na snagu nove Uredbe o nazivima radnih </w:t>
      </w:r>
      <w:r>
        <w:lastRenderedPageBreak/>
        <w:t>mjesta, uvjetima za raspored i koeficijentima za obračun plaće u javnim služ</w:t>
      </w:r>
      <w:r>
        <w:t>bama, kojom su ti dodaci integrirani u nove koeficijente.</w:t>
      </w:r>
    </w:p>
    <w:p w:rsidR="00BE2C99" w:rsidRDefault="00BE2C99"/>
    <w:p w:rsidR="00BE2C99" w:rsidRDefault="005B7AC4">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5B7AC4">
            <w:pPr>
              <w:keepNext/>
              <w:keepLines/>
              <w:spacing w:after="0" w:line="240" w:lineRule="auto"/>
            </w:pPr>
            <w:r>
              <w:rPr>
                <w:sz w:val="18"/>
              </w:rPr>
              <w:t>312</w:t>
            </w:r>
          </w:p>
        </w:tc>
        <w:tc>
          <w:tcPr>
            <w:tcW w:w="3180" w:type="dxa"/>
            <w:tcMar>
              <w:top w:w="0" w:type="dxa"/>
              <w:bottom w:w="0" w:type="dxa"/>
            </w:tcMar>
            <w:vAlign w:val="center"/>
          </w:tcPr>
          <w:p w:rsidR="00BE2C99" w:rsidRDefault="005B7AC4">
            <w:pPr>
              <w:keepNext/>
              <w:keepLines/>
              <w:spacing w:after="0" w:line="240" w:lineRule="auto"/>
            </w:pPr>
            <w:r>
              <w:rPr>
                <w:sz w:val="18"/>
              </w:rPr>
              <w:t>Ostali rashodi za zaposlene</w:t>
            </w:r>
          </w:p>
        </w:tc>
        <w:tc>
          <w:tcPr>
            <w:tcW w:w="700" w:type="dxa"/>
            <w:tcMar>
              <w:top w:w="0" w:type="dxa"/>
              <w:bottom w:w="0" w:type="dxa"/>
            </w:tcMar>
            <w:vAlign w:val="center"/>
          </w:tcPr>
          <w:p w:rsidR="00BE2C99" w:rsidRDefault="005B7AC4">
            <w:pPr>
              <w:keepNext/>
              <w:keepLines/>
              <w:spacing w:after="0" w:line="240" w:lineRule="auto"/>
            </w:pPr>
            <w:r>
              <w:rPr>
                <w:sz w:val="18"/>
              </w:rPr>
              <w:t>312</w:t>
            </w:r>
          </w:p>
        </w:tc>
        <w:tc>
          <w:tcPr>
            <w:tcW w:w="1860" w:type="dxa"/>
            <w:tcMar>
              <w:top w:w="0" w:type="dxa"/>
              <w:bottom w:w="0" w:type="dxa"/>
            </w:tcMar>
            <w:vAlign w:val="center"/>
          </w:tcPr>
          <w:p w:rsidR="00BE2C99" w:rsidRDefault="005B7AC4">
            <w:pPr>
              <w:keepNext/>
              <w:keepLines/>
              <w:spacing w:after="0" w:line="240" w:lineRule="auto"/>
              <w:jc w:val="right"/>
            </w:pPr>
            <w:r>
              <w:rPr>
                <w:sz w:val="18"/>
              </w:rPr>
              <w:t>76.938,34</w:t>
            </w:r>
          </w:p>
        </w:tc>
        <w:tc>
          <w:tcPr>
            <w:tcW w:w="1860" w:type="dxa"/>
            <w:tcMar>
              <w:top w:w="0" w:type="dxa"/>
              <w:bottom w:w="0" w:type="dxa"/>
            </w:tcMar>
            <w:vAlign w:val="center"/>
          </w:tcPr>
          <w:p w:rsidR="00BE2C99" w:rsidRDefault="005B7AC4">
            <w:pPr>
              <w:keepNext/>
              <w:keepLines/>
              <w:spacing w:after="0" w:line="240" w:lineRule="auto"/>
              <w:jc w:val="right"/>
            </w:pPr>
            <w:r>
              <w:rPr>
                <w:sz w:val="18"/>
              </w:rPr>
              <w:t>113.665,20</w:t>
            </w:r>
          </w:p>
        </w:tc>
        <w:tc>
          <w:tcPr>
            <w:tcW w:w="700" w:type="dxa"/>
            <w:tcMar>
              <w:top w:w="0" w:type="dxa"/>
              <w:bottom w:w="0" w:type="dxa"/>
            </w:tcMar>
            <w:vAlign w:val="center"/>
          </w:tcPr>
          <w:p w:rsidR="00BE2C99" w:rsidRDefault="005B7AC4">
            <w:pPr>
              <w:keepNext/>
              <w:keepLines/>
              <w:spacing w:after="0" w:line="240" w:lineRule="auto"/>
              <w:jc w:val="right"/>
            </w:pPr>
            <w:r>
              <w:rPr>
                <w:sz w:val="18"/>
              </w:rPr>
              <w:t>147,7</w:t>
            </w:r>
          </w:p>
        </w:tc>
      </w:tr>
    </w:tbl>
    <w:p w:rsidR="00BE2C99" w:rsidRDefault="00BE2C99">
      <w:pPr>
        <w:spacing w:after="0"/>
      </w:pPr>
    </w:p>
    <w:p w:rsidR="00BE2C99" w:rsidRDefault="005B7AC4">
      <w:pPr>
        <w:jc w:val="both"/>
      </w:pPr>
      <w:r>
        <w:t xml:space="preserve">Povećanje u 2025. godini rezultat je primjene odluke Upravnog vijeća kojom se od listopada 2024. godine radnicima isplaćuje mjesečna naknada za prehranu radnika u iznosu od 60 EUR. Budući da se u 2025. godini naknada isplaćivala tijekom cijele proračunske </w:t>
      </w:r>
      <w:r>
        <w:t>godine, ukupni rashodi su značajno veći u odnosu na prethodnu godinu.</w:t>
      </w:r>
    </w:p>
    <w:p w:rsidR="00BE2C99" w:rsidRDefault="00BE2C99"/>
    <w:p w:rsidR="00BE2C99" w:rsidRDefault="005B7AC4">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5B7AC4">
            <w:pPr>
              <w:keepNext/>
              <w:keepLines/>
              <w:spacing w:after="0" w:line="240" w:lineRule="auto"/>
            </w:pPr>
            <w:r>
              <w:rPr>
                <w:sz w:val="18"/>
              </w:rPr>
              <w:t>3132</w:t>
            </w:r>
          </w:p>
        </w:tc>
        <w:tc>
          <w:tcPr>
            <w:tcW w:w="3180" w:type="dxa"/>
            <w:tcMar>
              <w:top w:w="0" w:type="dxa"/>
              <w:bottom w:w="0" w:type="dxa"/>
            </w:tcMar>
            <w:vAlign w:val="center"/>
          </w:tcPr>
          <w:p w:rsidR="00BE2C99" w:rsidRDefault="005B7AC4">
            <w:pPr>
              <w:keepNext/>
              <w:keepLines/>
              <w:spacing w:after="0" w:line="240" w:lineRule="auto"/>
            </w:pPr>
            <w:r>
              <w:rPr>
                <w:sz w:val="18"/>
              </w:rPr>
              <w:t xml:space="preserve">Doprinosi za </w:t>
            </w:r>
            <w:r>
              <w:rPr>
                <w:sz w:val="18"/>
              </w:rPr>
              <w:t>obvezno zdravstveno osiguranje</w:t>
            </w:r>
          </w:p>
        </w:tc>
        <w:tc>
          <w:tcPr>
            <w:tcW w:w="700" w:type="dxa"/>
            <w:tcMar>
              <w:top w:w="0" w:type="dxa"/>
              <w:bottom w:w="0" w:type="dxa"/>
            </w:tcMar>
            <w:vAlign w:val="center"/>
          </w:tcPr>
          <w:p w:rsidR="00BE2C99" w:rsidRDefault="005B7AC4">
            <w:pPr>
              <w:keepNext/>
              <w:keepLines/>
              <w:spacing w:after="0" w:line="240" w:lineRule="auto"/>
            </w:pPr>
            <w:r>
              <w:rPr>
                <w:sz w:val="18"/>
              </w:rPr>
              <w:t>3132</w:t>
            </w:r>
          </w:p>
        </w:tc>
        <w:tc>
          <w:tcPr>
            <w:tcW w:w="1860" w:type="dxa"/>
            <w:tcMar>
              <w:top w:w="0" w:type="dxa"/>
              <w:bottom w:w="0" w:type="dxa"/>
            </w:tcMar>
            <w:vAlign w:val="center"/>
          </w:tcPr>
          <w:p w:rsidR="00BE2C99" w:rsidRDefault="005B7AC4">
            <w:pPr>
              <w:keepNext/>
              <w:keepLines/>
              <w:spacing w:after="0" w:line="240" w:lineRule="auto"/>
              <w:jc w:val="right"/>
            </w:pPr>
            <w:r>
              <w:rPr>
                <w:sz w:val="18"/>
              </w:rPr>
              <w:t>312.364,27</w:t>
            </w:r>
          </w:p>
        </w:tc>
        <w:tc>
          <w:tcPr>
            <w:tcW w:w="1860" w:type="dxa"/>
            <w:tcMar>
              <w:top w:w="0" w:type="dxa"/>
              <w:bottom w:w="0" w:type="dxa"/>
            </w:tcMar>
            <w:vAlign w:val="center"/>
          </w:tcPr>
          <w:p w:rsidR="00BE2C99" w:rsidRDefault="005B7AC4">
            <w:pPr>
              <w:keepNext/>
              <w:keepLines/>
              <w:spacing w:after="0" w:line="240" w:lineRule="auto"/>
              <w:jc w:val="right"/>
            </w:pPr>
            <w:r>
              <w:rPr>
                <w:sz w:val="18"/>
              </w:rPr>
              <w:t>369.321,04</w:t>
            </w:r>
          </w:p>
        </w:tc>
        <w:tc>
          <w:tcPr>
            <w:tcW w:w="700" w:type="dxa"/>
            <w:tcMar>
              <w:top w:w="0" w:type="dxa"/>
              <w:bottom w:w="0" w:type="dxa"/>
            </w:tcMar>
            <w:vAlign w:val="center"/>
          </w:tcPr>
          <w:p w:rsidR="00BE2C99" w:rsidRDefault="005B7AC4">
            <w:pPr>
              <w:keepNext/>
              <w:keepLines/>
              <w:spacing w:after="0" w:line="240" w:lineRule="auto"/>
              <w:jc w:val="right"/>
            </w:pPr>
            <w:r>
              <w:rPr>
                <w:sz w:val="18"/>
              </w:rPr>
              <w:t>118,2</w:t>
            </w:r>
          </w:p>
        </w:tc>
      </w:tr>
    </w:tbl>
    <w:p w:rsidR="00BE2C99" w:rsidRDefault="00BE2C99">
      <w:pPr>
        <w:spacing w:after="0"/>
      </w:pPr>
    </w:p>
    <w:p w:rsidR="00BE2C99" w:rsidRDefault="005B7AC4">
      <w:r>
        <w:t>Veći doprinosi na plaće u 2025. godini  vezani su uz veće troškove bruto plaća. </w:t>
      </w:r>
    </w:p>
    <w:p w:rsidR="00BE2C99" w:rsidRDefault="00BE2C99"/>
    <w:p w:rsidR="00BE2C99" w:rsidRDefault="005B7AC4">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5B7AC4">
            <w:pPr>
              <w:keepNext/>
              <w:keepLines/>
              <w:spacing w:after="0" w:line="240" w:lineRule="auto"/>
            </w:pPr>
            <w:r>
              <w:rPr>
                <w:sz w:val="18"/>
              </w:rPr>
              <w:t>3212</w:t>
            </w:r>
          </w:p>
        </w:tc>
        <w:tc>
          <w:tcPr>
            <w:tcW w:w="3180" w:type="dxa"/>
            <w:tcMar>
              <w:top w:w="0" w:type="dxa"/>
              <w:bottom w:w="0" w:type="dxa"/>
            </w:tcMar>
            <w:vAlign w:val="center"/>
          </w:tcPr>
          <w:p w:rsidR="00BE2C99" w:rsidRDefault="005B7AC4">
            <w:pPr>
              <w:keepNext/>
              <w:keepLines/>
              <w:spacing w:after="0" w:line="240" w:lineRule="auto"/>
            </w:pPr>
            <w:r>
              <w:rPr>
                <w:sz w:val="18"/>
              </w:rPr>
              <w:t>Naknade za prijevoz, za rad na terenu i odvojeni život</w:t>
            </w:r>
          </w:p>
        </w:tc>
        <w:tc>
          <w:tcPr>
            <w:tcW w:w="700" w:type="dxa"/>
            <w:tcMar>
              <w:top w:w="0" w:type="dxa"/>
              <w:bottom w:w="0" w:type="dxa"/>
            </w:tcMar>
            <w:vAlign w:val="center"/>
          </w:tcPr>
          <w:p w:rsidR="00BE2C99" w:rsidRDefault="005B7AC4">
            <w:pPr>
              <w:keepNext/>
              <w:keepLines/>
              <w:spacing w:after="0" w:line="240" w:lineRule="auto"/>
            </w:pPr>
            <w:r>
              <w:rPr>
                <w:sz w:val="18"/>
              </w:rPr>
              <w:t>3212</w:t>
            </w:r>
          </w:p>
        </w:tc>
        <w:tc>
          <w:tcPr>
            <w:tcW w:w="1860" w:type="dxa"/>
            <w:tcMar>
              <w:top w:w="0" w:type="dxa"/>
              <w:bottom w:w="0" w:type="dxa"/>
            </w:tcMar>
            <w:vAlign w:val="center"/>
          </w:tcPr>
          <w:p w:rsidR="00BE2C99" w:rsidRDefault="005B7AC4">
            <w:pPr>
              <w:keepNext/>
              <w:keepLines/>
              <w:spacing w:after="0" w:line="240" w:lineRule="auto"/>
              <w:jc w:val="right"/>
            </w:pPr>
            <w:r>
              <w:rPr>
                <w:sz w:val="18"/>
              </w:rPr>
              <w:t>67.212,63</w:t>
            </w:r>
          </w:p>
        </w:tc>
        <w:tc>
          <w:tcPr>
            <w:tcW w:w="1860" w:type="dxa"/>
            <w:tcMar>
              <w:top w:w="0" w:type="dxa"/>
              <w:bottom w:w="0" w:type="dxa"/>
            </w:tcMar>
            <w:vAlign w:val="center"/>
          </w:tcPr>
          <w:p w:rsidR="00BE2C99" w:rsidRDefault="005B7AC4">
            <w:pPr>
              <w:keepNext/>
              <w:keepLines/>
              <w:spacing w:after="0" w:line="240" w:lineRule="auto"/>
              <w:jc w:val="right"/>
            </w:pPr>
            <w:r>
              <w:rPr>
                <w:sz w:val="18"/>
              </w:rPr>
              <w:t>60.873,83</w:t>
            </w:r>
          </w:p>
        </w:tc>
        <w:tc>
          <w:tcPr>
            <w:tcW w:w="700" w:type="dxa"/>
            <w:tcMar>
              <w:top w:w="0" w:type="dxa"/>
              <w:bottom w:w="0" w:type="dxa"/>
            </w:tcMar>
            <w:vAlign w:val="center"/>
          </w:tcPr>
          <w:p w:rsidR="00BE2C99" w:rsidRDefault="005B7AC4">
            <w:pPr>
              <w:keepNext/>
              <w:keepLines/>
              <w:spacing w:after="0" w:line="240" w:lineRule="auto"/>
              <w:jc w:val="right"/>
            </w:pPr>
            <w:r>
              <w:rPr>
                <w:sz w:val="18"/>
              </w:rPr>
              <w:t>90,6</w:t>
            </w:r>
          </w:p>
        </w:tc>
      </w:tr>
    </w:tbl>
    <w:p w:rsidR="00BE2C99" w:rsidRDefault="00BE2C99">
      <w:pPr>
        <w:spacing w:after="0"/>
      </w:pPr>
    </w:p>
    <w:p w:rsidR="00BE2C99" w:rsidRDefault="005B7AC4">
      <w:pPr>
        <w:jc w:val="both"/>
      </w:pPr>
      <w:r>
        <w:t>Izdaci za prijevoz zaposlenika prate prava zaposlenika sukladno odredbama važećeg Kolektivnog ugovora. </w:t>
      </w:r>
    </w:p>
    <w:p w:rsidR="00BE2C99" w:rsidRDefault="00BE2C99"/>
    <w:p w:rsidR="00BE2C99" w:rsidRDefault="005B7AC4">
      <w:pPr>
        <w:keepNext/>
        <w:spacing w:line="240" w:lineRule="auto"/>
        <w:jc w:val="center"/>
      </w:pPr>
      <w:r>
        <w:rPr>
          <w:sz w:val="28"/>
        </w:rPr>
        <w:lastRenderedPageBreak/>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5B7AC4">
            <w:pPr>
              <w:keepNext/>
              <w:keepLines/>
              <w:spacing w:after="0" w:line="240" w:lineRule="auto"/>
            </w:pPr>
            <w:r>
              <w:rPr>
                <w:sz w:val="18"/>
              </w:rPr>
              <w:t>3213</w:t>
            </w:r>
          </w:p>
        </w:tc>
        <w:tc>
          <w:tcPr>
            <w:tcW w:w="3180" w:type="dxa"/>
            <w:tcMar>
              <w:top w:w="0" w:type="dxa"/>
              <w:bottom w:w="0" w:type="dxa"/>
            </w:tcMar>
            <w:vAlign w:val="center"/>
          </w:tcPr>
          <w:p w:rsidR="00BE2C99" w:rsidRDefault="005B7AC4">
            <w:pPr>
              <w:keepNext/>
              <w:keepLines/>
              <w:spacing w:after="0" w:line="240" w:lineRule="auto"/>
            </w:pPr>
            <w:r>
              <w:rPr>
                <w:sz w:val="18"/>
              </w:rPr>
              <w:t>Stručno usavršavanje zaposlenika</w:t>
            </w:r>
          </w:p>
        </w:tc>
        <w:tc>
          <w:tcPr>
            <w:tcW w:w="700" w:type="dxa"/>
            <w:tcMar>
              <w:top w:w="0" w:type="dxa"/>
              <w:bottom w:w="0" w:type="dxa"/>
            </w:tcMar>
            <w:vAlign w:val="center"/>
          </w:tcPr>
          <w:p w:rsidR="00BE2C99" w:rsidRDefault="005B7AC4">
            <w:pPr>
              <w:keepNext/>
              <w:keepLines/>
              <w:spacing w:after="0" w:line="240" w:lineRule="auto"/>
            </w:pPr>
            <w:r>
              <w:rPr>
                <w:sz w:val="18"/>
              </w:rPr>
              <w:t>3213</w:t>
            </w:r>
          </w:p>
        </w:tc>
        <w:tc>
          <w:tcPr>
            <w:tcW w:w="1860" w:type="dxa"/>
            <w:tcMar>
              <w:top w:w="0" w:type="dxa"/>
              <w:bottom w:w="0" w:type="dxa"/>
            </w:tcMar>
            <w:vAlign w:val="center"/>
          </w:tcPr>
          <w:p w:rsidR="00BE2C99" w:rsidRDefault="005B7AC4">
            <w:pPr>
              <w:keepNext/>
              <w:keepLines/>
              <w:spacing w:after="0" w:line="240" w:lineRule="auto"/>
              <w:jc w:val="right"/>
            </w:pPr>
            <w:r>
              <w:rPr>
                <w:sz w:val="18"/>
              </w:rPr>
              <w:t>5.969,86</w:t>
            </w:r>
          </w:p>
        </w:tc>
        <w:tc>
          <w:tcPr>
            <w:tcW w:w="1860" w:type="dxa"/>
            <w:tcMar>
              <w:top w:w="0" w:type="dxa"/>
              <w:bottom w:w="0" w:type="dxa"/>
            </w:tcMar>
            <w:vAlign w:val="center"/>
          </w:tcPr>
          <w:p w:rsidR="00BE2C99" w:rsidRDefault="005B7AC4">
            <w:pPr>
              <w:keepNext/>
              <w:keepLines/>
              <w:spacing w:after="0" w:line="240" w:lineRule="auto"/>
              <w:jc w:val="right"/>
            </w:pPr>
            <w:r>
              <w:rPr>
                <w:sz w:val="18"/>
              </w:rPr>
              <w:t>8.702,17</w:t>
            </w:r>
          </w:p>
        </w:tc>
        <w:tc>
          <w:tcPr>
            <w:tcW w:w="700" w:type="dxa"/>
            <w:tcMar>
              <w:top w:w="0" w:type="dxa"/>
              <w:bottom w:w="0" w:type="dxa"/>
            </w:tcMar>
            <w:vAlign w:val="center"/>
          </w:tcPr>
          <w:p w:rsidR="00BE2C99" w:rsidRDefault="005B7AC4">
            <w:pPr>
              <w:keepNext/>
              <w:keepLines/>
              <w:spacing w:after="0" w:line="240" w:lineRule="auto"/>
              <w:jc w:val="right"/>
            </w:pPr>
            <w:r>
              <w:rPr>
                <w:sz w:val="18"/>
              </w:rPr>
              <w:t>145,8</w:t>
            </w:r>
          </w:p>
        </w:tc>
      </w:tr>
    </w:tbl>
    <w:p w:rsidR="00BE2C99" w:rsidRDefault="00BE2C99">
      <w:pPr>
        <w:spacing w:after="0"/>
      </w:pPr>
    </w:p>
    <w:p w:rsidR="00BE2C99" w:rsidRDefault="005B7AC4">
      <w:pPr>
        <w:jc w:val="both"/>
      </w:pPr>
      <w:r>
        <w:t>Rashodi za stručno usavršavanje u 2025. godini uvećani su zbog troška školarine za specijalistički postdiplomski studij u iznosu od 3.600 EUR. Navedeni trošak bit će u potpunosti refundiran sredstvima projekta EU-Centralno financiranje specijalizacija.</w:t>
      </w:r>
    </w:p>
    <w:p w:rsidR="00BE2C99" w:rsidRDefault="00BE2C99"/>
    <w:p w:rsidR="00BE2C99" w:rsidRDefault="005B7AC4">
      <w:pPr>
        <w:keepNext/>
        <w:spacing w:line="240" w:lineRule="auto"/>
        <w:jc w:val="center"/>
      </w:pPr>
      <w:r>
        <w:rPr>
          <w:sz w:val="28"/>
        </w:rPr>
        <w:t>Bi</w:t>
      </w:r>
      <w:r>
        <w:rPr>
          <w:sz w:val="28"/>
        </w:rPr>
        <w:t>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5B7AC4">
            <w:pPr>
              <w:keepNext/>
              <w:keepLines/>
              <w:spacing w:after="0" w:line="240" w:lineRule="auto"/>
            </w:pPr>
            <w:r>
              <w:rPr>
                <w:sz w:val="18"/>
              </w:rPr>
              <w:t>3222</w:t>
            </w:r>
          </w:p>
        </w:tc>
        <w:tc>
          <w:tcPr>
            <w:tcW w:w="3180" w:type="dxa"/>
            <w:tcMar>
              <w:top w:w="0" w:type="dxa"/>
              <w:bottom w:w="0" w:type="dxa"/>
            </w:tcMar>
            <w:vAlign w:val="center"/>
          </w:tcPr>
          <w:p w:rsidR="00BE2C99" w:rsidRDefault="005B7AC4">
            <w:pPr>
              <w:keepNext/>
              <w:keepLines/>
              <w:spacing w:after="0" w:line="240" w:lineRule="auto"/>
            </w:pPr>
            <w:r>
              <w:rPr>
                <w:sz w:val="18"/>
              </w:rPr>
              <w:t>Materijal i sirovine</w:t>
            </w:r>
          </w:p>
        </w:tc>
        <w:tc>
          <w:tcPr>
            <w:tcW w:w="700" w:type="dxa"/>
            <w:tcMar>
              <w:top w:w="0" w:type="dxa"/>
              <w:bottom w:w="0" w:type="dxa"/>
            </w:tcMar>
            <w:vAlign w:val="center"/>
          </w:tcPr>
          <w:p w:rsidR="00BE2C99" w:rsidRDefault="005B7AC4">
            <w:pPr>
              <w:keepNext/>
              <w:keepLines/>
              <w:spacing w:after="0" w:line="240" w:lineRule="auto"/>
            </w:pPr>
            <w:r>
              <w:rPr>
                <w:sz w:val="18"/>
              </w:rPr>
              <w:t>3222</w:t>
            </w:r>
          </w:p>
        </w:tc>
        <w:tc>
          <w:tcPr>
            <w:tcW w:w="1860" w:type="dxa"/>
            <w:tcMar>
              <w:top w:w="0" w:type="dxa"/>
              <w:bottom w:w="0" w:type="dxa"/>
            </w:tcMar>
            <w:vAlign w:val="center"/>
          </w:tcPr>
          <w:p w:rsidR="00BE2C99" w:rsidRDefault="005B7AC4">
            <w:pPr>
              <w:keepNext/>
              <w:keepLines/>
              <w:spacing w:after="0" w:line="240" w:lineRule="auto"/>
              <w:jc w:val="right"/>
            </w:pPr>
            <w:r>
              <w:rPr>
                <w:sz w:val="18"/>
              </w:rPr>
              <w:t>412.812,06</w:t>
            </w:r>
          </w:p>
        </w:tc>
        <w:tc>
          <w:tcPr>
            <w:tcW w:w="1860" w:type="dxa"/>
            <w:tcMar>
              <w:top w:w="0" w:type="dxa"/>
              <w:bottom w:w="0" w:type="dxa"/>
            </w:tcMar>
            <w:vAlign w:val="center"/>
          </w:tcPr>
          <w:p w:rsidR="00BE2C99" w:rsidRDefault="005B7AC4">
            <w:pPr>
              <w:keepNext/>
              <w:keepLines/>
              <w:spacing w:after="0" w:line="240" w:lineRule="auto"/>
              <w:jc w:val="right"/>
            </w:pPr>
            <w:r>
              <w:rPr>
                <w:sz w:val="18"/>
              </w:rPr>
              <w:t>1.630,31</w:t>
            </w:r>
          </w:p>
        </w:tc>
        <w:tc>
          <w:tcPr>
            <w:tcW w:w="700" w:type="dxa"/>
            <w:tcMar>
              <w:top w:w="0" w:type="dxa"/>
              <w:bottom w:w="0" w:type="dxa"/>
            </w:tcMar>
            <w:vAlign w:val="center"/>
          </w:tcPr>
          <w:p w:rsidR="00BE2C99" w:rsidRDefault="005B7AC4">
            <w:pPr>
              <w:keepNext/>
              <w:keepLines/>
              <w:spacing w:after="0" w:line="240" w:lineRule="auto"/>
              <w:jc w:val="right"/>
            </w:pPr>
            <w:r>
              <w:rPr>
                <w:sz w:val="18"/>
              </w:rPr>
              <w:t>0,4</w:t>
            </w:r>
          </w:p>
        </w:tc>
      </w:tr>
    </w:tbl>
    <w:p w:rsidR="00BE2C99" w:rsidRDefault="00BE2C99">
      <w:pPr>
        <w:spacing w:after="0"/>
      </w:pPr>
    </w:p>
    <w:p w:rsidR="00BE2C99" w:rsidRDefault="005B7AC4">
      <w:pPr>
        <w:jc w:val="both"/>
      </w:pPr>
      <w:r>
        <w:t>Sukladno novom Pravilniku o proračunskom računovodstvu i računskom planu (NN 158/23,14/24) rashode za lijekove i potrošni medicinski materijal u 2025. godini knjiže se na novi odjeljak računa u računskom planu 325 Rashodi lijekova i potrošnog medicinskog m</w:t>
      </w:r>
      <w:r>
        <w:t>aterijala dok su isti u 2024. godini bili knjiženi u okviru odjeljka 322.</w:t>
      </w:r>
    </w:p>
    <w:p w:rsidR="00BE2C99" w:rsidRDefault="00BE2C99"/>
    <w:p w:rsidR="00BE2C99" w:rsidRDefault="005B7AC4">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5B7AC4">
            <w:pPr>
              <w:keepNext/>
              <w:keepLines/>
              <w:spacing w:after="0" w:line="240" w:lineRule="auto"/>
            </w:pPr>
            <w:r>
              <w:rPr>
                <w:sz w:val="18"/>
              </w:rPr>
              <w:t>3223</w:t>
            </w:r>
          </w:p>
        </w:tc>
        <w:tc>
          <w:tcPr>
            <w:tcW w:w="3180" w:type="dxa"/>
            <w:tcMar>
              <w:top w:w="0" w:type="dxa"/>
              <w:bottom w:w="0" w:type="dxa"/>
            </w:tcMar>
            <w:vAlign w:val="center"/>
          </w:tcPr>
          <w:p w:rsidR="00BE2C99" w:rsidRDefault="005B7AC4">
            <w:pPr>
              <w:keepNext/>
              <w:keepLines/>
              <w:spacing w:after="0" w:line="240" w:lineRule="auto"/>
            </w:pPr>
            <w:r>
              <w:rPr>
                <w:sz w:val="18"/>
              </w:rPr>
              <w:t>Energija</w:t>
            </w:r>
          </w:p>
        </w:tc>
        <w:tc>
          <w:tcPr>
            <w:tcW w:w="700" w:type="dxa"/>
            <w:tcMar>
              <w:top w:w="0" w:type="dxa"/>
              <w:bottom w:w="0" w:type="dxa"/>
            </w:tcMar>
            <w:vAlign w:val="center"/>
          </w:tcPr>
          <w:p w:rsidR="00BE2C99" w:rsidRDefault="005B7AC4">
            <w:pPr>
              <w:keepNext/>
              <w:keepLines/>
              <w:spacing w:after="0" w:line="240" w:lineRule="auto"/>
            </w:pPr>
            <w:r>
              <w:rPr>
                <w:sz w:val="18"/>
              </w:rPr>
              <w:t>3223</w:t>
            </w:r>
          </w:p>
        </w:tc>
        <w:tc>
          <w:tcPr>
            <w:tcW w:w="1860" w:type="dxa"/>
            <w:tcMar>
              <w:top w:w="0" w:type="dxa"/>
              <w:bottom w:w="0" w:type="dxa"/>
            </w:tcMar>
            <w:vAlign w:val="center"/>
          </w:tcPr>
          <w:p w:rsidR="00BE2C99" w:rsidRDefault="005B7AC4">
            <w:pPr>
              <w:keepNext/>
              <w:keepLines/>
              <w:spacing w:after="0" w:line="240" w:lineRule="auto"/>
              <w:jc w:val="right"/>
            </w:pPr>
            <w:r>
              <w:rPr>
                <w:sz w:val="18"/>
              </w:rPr>
              <w:t>43.405,89</w:t>
            </w:r>
          </w:p>
        </w:tc>
        <w:tc>
          <w:tcPr>
            <w:tcW w:w="1860" w:type="dxa"/>
            <w:tcMar>
              <w:top w:w="0" w:type="dxa"/>
              <w:bottom w:w="0" w:type="dxa"/>
            </w:tcMar>
            <w:vAlign w:val="center"/>
          </w:tcPr>
          <w:p w:rsidR="00BE2C99" w:rsidRDefault="005B7AC4">
            <w:pPr>
              <w:keepNext/>
              <w:keepLines/>
              <w:spacing w:after="0" w:line="240" w:lineRule="auto"/>
              <w:jc w:val="right"/>
            </w:pPr>
            <w:r>
              <w:rPr>
                <w:sz w:val="18"/>
              </w:rPr>
              <w:t>35.632,41</w:t>
            </w:r>
          </w:p>
        </w:tc>
        <w:tc>
          <w:tcPr>
            <w:tcW w:w="700" w:type="dxa"/>
            <w:tcMar>
              <w:top w:w="0" w:type="dxa"/>
              <w:bottom w:w="0" w:type="dxa"/>
            </w:tcMar>
            <w:vAlign w:val="center"/>
          </w:tcPr>
          <w:p w:rsidR="00BE2C99" w:rsidRDefault="005B7AC4">
            <w:pPr>
              <w:keepNext/>
              <w:keepLines/>
              <w:spacing w:after="0" w:line="240" w:lineRule="auto"/>
              <w:jc w:val="right"/>
            </w:pPr>
            <w:r>
              <w:rPr>
                <w:sz w:val="18"/>
              </w:rPr>
              <w:t>82,1</w:t>
            </w:r>
          </w:p>
        </w:tc>
      </w:tr>
    </w:tbl>
    <w:p w:rsidR="00BE2C99" w:rsidRDefault="00BE2C99">
      <w:pPr>
        <w:spacing w:after="0"/>
      </w:pPr>
    </w:p>
    <w:p w:rsidR="00BE2C99" w:rsidRDefault="005B7AC4">
      <w:pPr>
        <w:jc w:val="both"/>
      </w:pPr>
      <w:r>
        <w:t xml:space="preserve">Tijekom 2025. godine ostvarene su značajne uštede na troškovima električne energije, što je izravna posljedica ugradnje </w:t>
      </w:r>
      <w:proofErr w:type="spellStart"/>
      <w:r>
        <w:t>fotonaponskog</w:t>
      </w:r>
      <w:proofErr w:type="spellEnd"/>
      <w:r>
        <w:t xml:space="preserve"> sustava i prelaska na vlastitu proizvodnju energije.</w:t>
      </w:r>
    </w:p>
    <w:p w:rsidR="00BE2C99" w:rsidRDefault="00BE2C99"/>
    <w:p w:rsidR="00BE2C99" w:rsidRDefault="005B7AC4">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5B7AC4">
            <w:pPr>
              <w:keepNext/>
              <w:keepLines/>
              <w:spacing w:after="0" w:line="240" w:lineRule="auto"/>
            </w:pPr>
            <w:r>
              <w:rPr>
                <w:sz w:val="18"/>
              </w:rPr>
              <w:t>3224</w:t>
            </w:r>
          </w:p>
        </w:tc>
        <w:tc>
          <w:tcPr>
            <w:tcW w:w="3180" w:type="dxa"/>
            <w:tcMar>
              <w:top w:w="0" w:type="dxa"/>
              <w:bottom w:w="0" w:type="dxa"/>
            </w:tcMar>
            <w:vAlign w:val="center"/>
          </w:tcPr>
          <w:p w:rsidR="00BE2C99" w:rsidRDefault="005B7AC4">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rsidR="00BE2C99" w:rsidRDefault="005B7AC4">
            <w:pPr>
              <w:keepNext/>
              <w:keepLines/>
              <w:spacing w:after="0" w:line="240" w:lineRule="auto"/>
            </w:pPr>
            <w:r>
              <w:rPr>
                <w:sz w:val="18"/>
              </w:rPr>
              <w:t>3224</w:t>
            </w:r>
          </w:p>
        </w:tc>
        <w:tc>
          <w:tcPr>
            <w:tcW w:w="1860" w:type="dxa"/>
            <w:tcMar>
              <w:top w:w="0" w:type="dxa"/>
              <w:bottom w:w="0" w:type="dxa"/>
            </w:tcMar>
            <w:vAlign w:val="center"/>
          </w:tcPr>
          <w:p w:rsidR="00BE2C99" w:rsidRDefault="005B7AC4">
            <w:pPr>
              <w:keepNext/>
              <w:keepLines/>
              <w:spacing w:after="0" w:line="240" w:lineRule="auto"/>
              <w:jc w:val="right"/>
            </w:pPr>
            <w:r>
              <w:rPr>
                <w:sz w:val="18"/>
              </w:rPr>
              <w:t>886,94</w:t>
            </w:r>
          </w:p>
        </w:tc>
        <w:tc>
          <w:tcPr>
            <w:tcW w:w="1860" w:type="dxa"/>
            <w:tcMar>
              <w:top w:w="0" w:type="dxa"/>
              <w:bottom w:w="0" w:type="dxa"/>
            </w:tcMar>
            <w:vAlign w:val="center"/>
          </w:tcPr>
          <w:p w:rsidR="00BE2C99" w:rsidRDefault="005B7AC4">
            <w:pPr>
              <w:keepNext/>
              <w:keepLines/>
              <w:spacing w:after="0" w:line="240" w:lineRule="auto"/>
              <w:jc w:val="right"/>
            </w:pPr>
            <w:r>
              <w:rPr>
                <w:sz w:val="18"/>
              </w:rPr>
              <w:t>2.051,03</w:t>
            </w:r>
          </w:p>
        </w:tc>
        <w:tc>
          <w:tcPr>
            <w:tcW w:w="700" w:type="dxa"/>
            <w:tcMar>
              <w:top w:w="0" w:type="dxa"/>
              <w:bottom w:w="0" w:type="dxa"/>
            </w:tcMar>
            <w:vAlign w:val="center"/>
          </w:tcPr>
          <w:p w:rsidR="00BE2C99" w:rsidRDefault="005B7AC4">
            <w:pPr>
              <w:keepNext/>
              <w:keepLines/>
              <w:spacing w:after="0" w:line="240" w:lineRule="auto"/>
              <w:jc w:val="right"/>
            </w:pPr>
            <w:r>
              <w:rPr>
                <w:sz w:val="18"/>
              </w:rPr>
              <w:t>231,2</w:t>
            </w:r>
          </w:p>
        </w:tc>
      </w:tr>
    </w:tbl>
    <w:p w:rsidR="00BE2C99" w:rsidRDefault="00BE2C99">
      <w:pPr>
        <w:spacing w:after="0"/>
      </w:pPr>
    </w:p>
    <w:p w:rsidR="00BE2C99" w:rsidRDefault="005B7AC4">
      <w:pPr>
        <w:jc w:val="both"/>
      </w:pPr>
      <w:r>
        <w:lastRenderedPageBreak/>
        <w:t>U 2025. godini nastali su veći troškovi materijala i dijelova za tekuće i investicijsko održavanje što je rezultat primitka računa koji sadrži zasebnu stavku materijala i dijelova za tekuće održavanje.</w:t>
      </w:r>
    </w:p>
    <w:p w:rsidR="00BE2C99" w:rsidRDefault="00BE2C99"/>
    <w:p w:rsidR="00BE2C99" w:rsidRDefault="005B7AC4">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w:t>
            </w:r>
            <w:r>
              <w:rPr>
                <w:b/>
                <w:sz w:val="18"/>
              </w:rPr>
              <w:t>tvareno u izvještajnom razdoblju prethodne godine</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5B7AC4">
            <w:pPr>
              <w:keepNext/>
              <w:keepLines/>
              <w:spacing w:after="0" w:line="240" w:lineRule="auto"/>
            </w:pPr>
            <w:r>
              <w:rPr>
                <w:sz w:val="18"/>
              </w:rPr>
              <w:t>3225</w:t>
            </w:r>
          </w:p>
        </w:tc>
        <w:tc>
          <w:tcPr>
            <w:tcW w:w="3180" w:type="dxa"/>
            <w:tcMar>
              <w:top w:w="0" w:type="dxa"/>
              <w:bottom w:w="0" w:type="dxa"/>
            </w:tcMar>
            <w:vAlign w:val="center"/>
          </w:tcPr>
          <w:p w:rsidR="00BE2C99" w:rsidRDefault="005B7AC4">
            <w:pPr>
              <w:keepNext/>
              <w:keepLines/>
              <w:spacing w:after="0" w:line="240" w:lineRule="auto"/>
            </w:pPr>
            <w:r>
              <w:rPr>
                <w:sz w:val="18"/>
              </w:rPr>
              <w:t xml:space="preserve">Sitni inventar i </w:t>
            </w:r>
            <w:proofErr w:type="spellStart"/>
            <w:r>
              <w:rPr>
                <w:sz w:val="18"/>
              </w:rPr>
              <w:t>autogume</w:t>
            </w:r>
            <w:proofErr w:type="spellEnd"/>
          </w:p>
        </w:tc>
        <w:tc>
          <w:tcPr>
            <w:tcW w:w="700" w:type="dxa"/>
            <w:tcMar>
              <w:top w:w="0" w:type="dxa"/>
              <w:bottom w:w="0" w:type="dxa"/>
            </w:tcMar>
            <w:vAlign w:val="center"/>
          </w:tcPr>
          <w:p w:rsidR="00BE2C99" w:rsidRDefault="005B7AC4">
            <w:pPr>
              <w:keepNext/>
              <w:keepLines/>
              <w:spacing w:after="0" w:line="240" w:lineRule="auto"/>
            </w:pPr>
            <w:r>
              <w:rPr>
                <w:sz w:val="18"/>
              </w:rPr>
              <w:t>3225</w:t>
            </w:r>
          </w:p>
        </w:tc>
        <w:tc>
          <w:tcPr>
            <w:tcW w:w="1860" w:type="dxa"/>
            <w:tcMar>
              <w:top w:w="0" w:type="dxa"/>
              <w:bottom w:w="0" w:type="dxa"/>
            </w:tcMar>
            <w:vAlign w:val="center"/>
          </w:tcPr>
          <w:p w:rsidR="00BE2C99" w:rsidRDefault="005B7AC4">
            <w:pPr>
              <w:keepNext/>
              <w:keepLines/>
              <w:spacing w:after="0" w:line="240" w:lineRule="auto"/>
              <w:jc w:val="right"/>
            </w:pPr>
            <w:r>
              <w:rPr>
                <w:sz w:val="18"/>
              </w:rPr>
              <w:t>4.138,18</w:t>
            </w:r>
          </w:p>
        </w:tc>
        <w:tc>
          <w:tcPr>
            <w:tcW w:w="1860" w:type="dxa"/>
            <w:tcMar>
              <w:top w:w="0" w:type="dxa"/>
              <w:bottom w:w="0" w:type="dxa"/>
            </w:tcMar>
            <w:vAlign w:val="center"/>
          </w:tcPr>
          <w:p w:rsidR="00BE2C99" w:rsidRDefault="005B7AC4">
            <w:pPr>
              <w:keepNext/>
              <w:keepLines/>
              <w:spacing w:after="0" w:line="240" w:lineRule="auto"/>
              <w:jc w:val="right"/>
            </w:pPr>
            <w:r>
              <w:rPr>
                <w:sz w:val="18"/>
              </w:rPr>
              <w:t>2.839,67</w:t>
            </w:r>
          </w:p>
        </w:tc>
        <w:tc>
          <w:tcPr>
            <w:tcW w:w="700" w:type="dxa"/>
            <w:tcMar>
              <w:top w:w="0" w:type="dxa"/>
              <w:bottom w:w="0" w:type="dxa"/>
            </w:tcMar>
            <w:vAlign w:val="center"/>
          </w:tcPr>
          <w:p w:rsidR="00BE2C99" w:rsidRDefault="005B7AC4">
            <w:pPr>
              <w:keepNext/>
              <w:keepLines/>
              <w:spacing w:after="0" w:line="240" w:lineRule="auto"/>
              <w:jc w:val="right"/>
            </w:pPr>
            <w:r>
              <w:rPr>
                <w:sz w:val="18"/>
              </w:rPr>
              <w:t>68,6</w:t>
            </w:r>
          </w:p>
        </w:tc>
      </w:tr>
    </w:tbl>
    <w:p w:rsidR="00BE2C99" w:rsidRDefault="00BE2C99">
      <w:pPr>
        <w:spacing w:after="0"/>
      </w:pPr>
    </w:p>
    <w:p w:rsidR="00BE2C99" w:rsidRDefault="005B7AC4">
      <w:r>
        <w:t>Ostvarena je ušteda sitnog inventara u 2025. godini zbog manjih potreba  za nabavkom istog.</w:t>
      </w:r>
    </w:p>
    <w:p w:rsidR="00BE2C99" w:rsidRDefault="00BE2C99"/>
    <w:p w:rsidR="00BE2C99" w:rsidRDefault="005B7AC4">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5B7AC4">
            <w:pPr>
              <w:keepNext/>
              <w:keepLines/>
              <w:spacing w:after="0" w:line="240" w:lineRule="auto"/>
            </w:pPr>
            <w:r>
              <w:rPr>
                <w:sz w:val="18"/>
              </w:rPr>
              <w:t>3227</w:t>
            </w:r>
          </w:p>
        </w:tc>
        <w:tc>
          <w:tcPr>
            <w:tcW w:w="3180" w:type="dxa"/>
            <w:tcMar>
              <w:top w:w="0" w:type="dxa"/>
              <w:bottom w:w="0" w:type="dxa"/>
            </w:tcMar>
            <w:vAlign w:val="center"/>
          </w:tcPr>
          <w:p w:rsidR="00BE2C99" w:rsidRDefault="005B7AC4">
            <w:pPr>
              <w:keepNext/>
              <w:keepLines/>
              <w:spacing w:after="0" w:line="240" w:lineRule="auto"/>
            </w:pPr>
            <w:r>
              <w:rPr>
                <w:sz w:val="18"/>
              </w:rPr>
              <w:t>Službena, radna i zaštitna odjeća i obuća</w:t>
            </w:r>
          </w:p>
        </w:tc>
        <w:tc>
          <w:tcPr>
            <w:tcW w:w="700" w:type="dxa"/>
            <w:tcMar>
              <w:top w:w="0" w:type="dxa"/>
              <w:bottom w:w="0" w:type="dxa"/>
            </w:tcMar>
            <w:vAlign w:val="center"/>
          </w:tcPr>
          <w:p w:rsidR="00BE2C99" w:rsidRDefault="005B7AC4">
            <w:pPr>
              <w:keepNext/>
              <w:keepLines/>
              <w:spacing w:after="0" w:line="240" w:lineRule="auto"/>
            </w:pPr>
            <w:r>
              <w:rPr>
                <w:sz w:val="18"/>
              </w:rPr>
              <w:t>3227</w:t>
            </w:r>
          </w:p>
        </w:tc>
        <w:tc>
          <w:tcPr>
            <w:tcW w:w="1860" w:type="dxa"/>
            <w:tcMar>
              <w:top w:w="0" w:type="dxa"/>
              <w:bottom w:w="0" w:type="dxa"/>
            </w:tcMar>
            <w:vAlign w:val="center"/>
          </w:tcPr>
          <w:p w:rsidR="00BE2C99" w:rsidRDefault="005B7AC4">
            <w:pPr>
              <w:keepNext/>
              <w:keepLines/>
              <w:spacing w:after="0" w:line="240" w:lineRule="auto"/>
              <w:jc w:val="right"/>
            </w:pPr>
            <w:r>
              <w:rPr>
                <w:sz w:val="18"/>
              </w:rPr>
              <w:t>10.088,70</w:t>
            </w:r>
          </w:p>
        </w:tc>
        <w:tc>
          <w:tcPr>
            <w:tcW w:w="1860" w:type="dxa"/>
            <w:tcMar>
              <w:top w:w="0" w:type="dxa"/>
              <w:bottom w:w="0" w:type="dxa"/>
            </w:tcMar>
            <w:vAlign w:val="center"/>
          </w:tcPr>
          <w:p w:rsidR="00BE2C99" w:rsidRDefault="005B7AC4">
            <w:pPr>
              <w:keepNext/>
              <w:keepLines/>
              <w:spacing w:after="0" w:line="240" w:lineRule="auto"/>
              <w:jc w:val="right"/>
            </w:pPr>
            <w:r>
              <w:rPr>
                <w:sz w:val="18"/>
              </w:rPr>
              <w:t>810,85</w:t>
            </w:r>
          </w:p>
        </w:tc>
        <w:tc>
          <w:tcPr>
            <w:tcW w:w="700" w:type="dxa"/>
            <w:tcMar>
              <w:top w:w="0" w:type="dxa"/>
              <w:bottom w:w="0" w:type="dxa"/>
            </w:tcMar>
            <w:vAlign w:val="center"/>
          </w:tcPr>
          <w:p w:rsidR="00BE2C99" w:rsidRDefault="005B7AC4">
            <w:pPr>
              <w:keepNext/>
              <w:keepLines/>
              <w:spacing w:after="0" w:line="240" w:lineRule="auto"/>
              <w:jc w:val="right"/>
            </w:pPr>
            <w:r>
              <w:rPr>
                <w:sz w:val="18"/>
              </w:rPr>
              <w:t>8,0</w:t>
            </w:r>
          </w:p>
        </w:tc>
      </w:tr>
    </w:tbl>
    <w:p w:rsidR="00BE2C99" w:rsidRDefault="00BE2C99">
      <w:pPr>
        <w:spacing w:after="0"/>
      </w:pPr>
    </w:p>
    <w:p w:rsidR="00BE2C99" w:rsidRDefault="005B7AC4">
      <w:pPr>
        <w:jc w:val="both"/>
      </w:pPr>
      <w:r>
        <w:t>Veći rashodi za službenu radnu i zaštitnu odjeću i obuću  u 2024. godini rezultat su  objedinjene nabave za sve  djelatnike Zavoda.  Predmetna nabava  ne provodi se svake godine, već sukladno iskazanim potrebama i raspoloživim financijskim sredstvima Zavod</w:t>
      </w:r>
      <w:r>
        <w:t>a.</w:t>
      </w:r>
    </w:p>
    <w:p w:rsidR="00BE2C99" w:rsidRDefault="00BE2C99"/>
    <w:p w:rsidR="00BE2C99" w:rsidRDefault="005B7AC4">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5B7AC4">
            <w:pPr>
              <w:keepNext/>
              <w:keepLines/>
              <w:spacing w:after="0" w:line="240" w:lineRule="auto"/>
            </w:pPr>
            <w:r>
              <w:rPr>
                <w:sz w:val="18"/>
              </w:rPr>
              <w:t>3233</w:t>
            </w:r>
          </w:p>
        </w:tc>
        <w:tc>
          <w:tcPr>
            <w:tcW w:w="3180" w:type="dxa"/>
            <w:tcMar>
              <w:top w:w="0" w:type="dxa"/>
              <w:bottom w:w="0" w:type="dxa"/>
            </w:tcMar>
            <w:vAlign w:val="center"/>
          </w:tcPr>
          <w:p w:rsidR="00BE2C99" w:rsidRDefault="005B7AC4">
            <w:pPr>
              <w:keepNext/>
              <w:keepLines/>
              <w:spacing w:after="0" w:line="240" w:lineRule="auto"/>
            </w:pPr>
            <w:r>
              <w:rPr>
                <w:sz w:val="18"/>
              </w:rPr>
              <w:t>Usluge promidžbe i informiranja</w:t>
            </w:r>
          </w:p>
        </w:tc>
        <w:tc>
          <w:tcPr>
            <w:tcW w:w="700" w:type="dxa"/>
            <w:tcMar>
              <w:top w:w="0" w:type="dxa"/>
              <w:bottom w:w="0" w:type="dxa"/>
            </w:tcMar>
            <w:vAlign w:val="center"/>
          </w:tcPr>
          <w:p w:rsidR="00BE2C99" w:rsidRDefault="005B7AC4">
            <w:pPr>
              <w:keepNext/>
              <w:keepLines/>
              <w:spacing w:after="0" w:line="240" w:lineRule="auto"/>
            </w:pPr>
            <w:r>
              <w:rPr>
                <w:sz w:val="18"/>
              </w:rPr>
              <w:t>3233</w:t>
            </w:r>
          </w:p>
        </w:tc>
        <w:tc>
          <w:tcPr>
            <w:tcW w:w="1860" w:type="dxa"/>
            <w:tcMar>
              <w:top w:w="0" w:type="dxa"/>
              <w:bottom w:w="0" w:type="dxa"/>
            </w:tcMar>
            <w:vAlign w:val="center"/>
          </w:tcPr>
          <w:p w:rsidR="00BE2C99" w:rsidRDefault="005B7AC4">
            <w:pPr>
              <w:keepNext/>
              <w:keepLines/>
              <w:spacing w:after="0" w:line="240" w:lineRule="auto"/>
              <w:jc w:val="right"/>
            </w:pPr>
            <w:r>
              <w:rPr>
                <w:sz w:val="18"/>
              </w:rPr>
              <w:t>3.433,69</w:t>
            </w:r>
          </w:p>
        </w:tc>
        <w:tc>
          <w:tcPr>
            <w:tcW w:w="1860" w:type="dxa"/>
            <w:tcMar>
              <w:top w:w="0" w:type="dxa"/>
              <w:bottom w:w="0" w:type="dxa"/>
            </w:tcMar>
            <w:vAlign w:val="center"/>
          </w:tcPr>
          <w:p w:rsidR="00BE2C99" w:rsidRDefault="005B7AC4">
            <w:pPr>
              <w:keepNext/>
              <w:keepLines/>
              <w:spacing w:after="0" w:line="240" w:lineRule="auto"/>
              <w:jc w:val="right"/>
            </w:pPr>
            <w:r>
              <w:rPr>
                <w:sz w:val="18"/>
              </w:rPr>
              <w:t>2.720,26</w:t>
            </w:r>
          </w:p>
        </w:tc>
        <w:tc>
          <w:tcPr>
            <w:tcW w:w="700" w:type="dxa"/>
            <w:tcMar>
              <w:top w:w="0" w:type="dxa"/>
              <w:bottom w:w="0" w:type="dxa"/>
            </w:tcMar>
            <w:vAlign w:val="center"/>
          </w:tcPr>
          <w:p w:rsidR="00BE2C99" w:rsidRDefault="005B7AC4">
            <w:pPr>
              <w:keepNext/>
              <w:keepLines/>
              <w:spacing w:after="0" w:line="240" w:lineRule="auto"/>
              <w:jc w:val="right"/>
            </w:pPr>
            <w:r>
              <w:rPr>
                <w:sz w:val="18"/>
              </w:rPr>
              <w:t>79,2</w:t>
            </w:r>
          </w:p>
        </w:tc>
      </w:tr>
    </w:tbl>
    <w:p w:rsidR="00BE2C99" w:rsidRDefault="00BE2C99">
      <w:pPr>
        <w:spacing w:after="0"/>
      </w:pPr>
    </w:p>
    <w:p w:rsidR="00BE2C99" w:rsidRDefault="005B7AC4">
      <w:pPr>
        <w:jc w:val="both"/>
      </w:pPr>
      <w:r>
        <w:t xml:space="preserve">Rashodi za promidžbu i informiranje u 2025. godini smanjeni su u odnosu na prethodnu godinu zbog manjeg iznosa primljenih sponzorstava. Navedeno obuhvaća aktivnosti u sklopu projekata </w:t>
      </w:r>
      <w:proofErr w:type="spellStart"/>
      <w:r>
        <w:t>BeACTIVE</w:t>
      </w:r>
      <w:proofErr w:type="spellEnd"/>
      <w:r>
        <w:t xml:space="preserve"> (sat tjelesne i zdravstvene kulture) i </w:t>
      </w:r>
      <w:proofErr w:type="spellStart"/>
      <w:r>
        <w:t>FlashMOVE</w:t>
      </w:r>
      <w:proofErr w:type="spellEnd"/>
      <w:r>
        <w:t xml:space="preserve"> plesnog događa</w:t>
      </w:r>
      <w:r>
        <w:t>ja te kampanje „Pješke ili biciklom na posao, druženje i rekreaciju“.</w:t>
      </w:r>
    </w:p>
    <w:p w:rsidR="00BE2C99" w:rsidRDefault="00BE2C99"/>
    <w:p w:rsidR="00BE2C99" w:rsidRDefault="005B7AC4">
      <w:pPr>
        <w:keepNext/>
        <w:spacing w:line="240" w:lineRule="auto"/>
        <w:jc w:val="center"/>
      </w:pPr>
      <w:r>
        <w:rPr>
          <w:sz w:val="28"/>
        </w:rPr>
        <w:lastRenderedPageBreak/>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5B7AC4">
            <w:pPr>
              <w:keepNext/>
              <w:keepLines/>
              <w:spacing w:after="0" w:line="240" w:lineRule="auto"/>
            </w:pPr>
            <w:r>
              <w:rPr>
                <w:sz w:val="18"/>
              </w:rPr>
              <w:t>3234</w:t>
            </w:r>
          </w:p>
        </w:tc>
        <w:tc>
          <w:tcPr>
            <w:tcW w:w="3180" w:type="dxa"/>
            <w:tcMar>
              <w:top w:w="0" w:type="dxa"/>
              <w:bottom w:w="0" w:type="dxa"/>
            </w:tcMar>
            <w:vAlign w:val="center"/>
          </w:tcPr>
          <w:p w:rsidR="00BE2C99" w:rsidRDefault="005B7AC4">
            <w:pPr>
              <w:keepNext/>
              <w:keepLines/>
              <w:spacing w:after="0" w:line="240" w:lineRule="auto"/>
            </w:pPr>
            <w:r>
              <w:rPr>
                <w:sz w:val="18"/>
              </w:rPr>
              <w:t>Komunalne usluge</w:t>
            </w:r>
          </w:p>
        </w:tc>
        <w:tc>
          <w:tcPr>
            <w:tcW w:w="700" w:type="dxa"/>
            <w:tcMar>
              <w:top w:w="0" w:type="dxa"/>
              <w:bottom w:w="0" w:type="dxa"/>
            </w:tcMar>
            <w:vAlign w:val="center"/>
          </w:tcPr>
          <w:p w:rsidR="00BE2C99" w:rsidRDefault="005B7AC4">
            <w:pPr>
              <w:keepNext/>
              <w:keepLines/>
              <w:spacing w:after="0" w:line="240" w:lineRule="auto"/>
            </w:pPr>
            <w:r>
              <w:rPr>
                <w:sz w:val="18"/>
              </w:rPr>
              <w:t>3234</w:t>
            </w:r>
          </w:p>
        </w:tc>
        <w:tc>
          <w:tcPr>
            <w:tcW w:w="1860" w:type="dxa"/>
            <w:tcMar>
              <w:top w:w="0" w:type="dxa"/>
              <w:bottom w:w="0" w:type="dxa"/>
            </w:tcMar>
            <w:vAlign w:val="center"/>
          </w:tcPr>
          <w:p w:rsidR="00BE2C99" w:rsidRDefault="005B7AC4">
            <w:pPr>
              <w:keepNext/>
              <w:keepLines/>
              <w:spacing w:after="0" w:line="240" w:lineRule="auto"/>
              <w:jc w:val="right"/>
            </w:pPr>
            <w:r>
              <w:rPr>
                <w:sz w:val="18"/>
              </w:rPr>
              <w:t>20.467,05</w:t>
            </w:r>
          </w:p>
        </w:tc>
        <w:tc>
          <w:tcPr>
            <w:tcW w:w="1860" w:type="dxa"/>
            <w:tcMar>
              <w:top w:w="0" w:type="dxa"/>
              <w:bottom w:w="0" w:type="dxa"/>
            </w:tcMar>
            <w:vAlign w:val="center"/>
          </w:tcPr>
          <w:p w:rsidR="00BE2C99" w:rsidRDefault="005B7AC4">
            <w:pPr>
              <w:keepNext/>
              <w:keepLines/>
              <w:spacing w:after="0" w:line="240" w:lineRule="auto"/>
              <w:jc w:val="right"/>
            </w:pPr>
            <w:r>
              <w:rPr>
                <w:sz w:val="18"/>
              </w:rPr>
              <w:t>24.633,74</w:t>
            </w:r>
          </w:p>
        </w:tc>
        <w:tc>
          <w:tcPr>
            <w:tcW w:w="700" w:type="dxa"/>
            <w:tcMar>
              <w:top w:w="0" w:type="dxa"/>
              <w:bottom w:w="0" w:type="dxa"/>
            </w:tcMar>
            <w:vAlign w:val="center"/>
          </w:tcPr>
          <w:p w:rsidR="00BE2C99" w:rsidRDefault="005B7AC4">
            <w:pPr>
              <w:keepNext/>
              <w:keepLines/>
              <w:spacing w:after="0" w:line="240" w:lineRule="auto"/>
              <w:jc w:val="right"/>
            </w:pPr>
            <w:r>
              <w:rPr>
                <w:sz w:val="18"/>
              </w:rPr>
              <w:t>120,4</w:t>
            </w:r>
          </w:p>
        </w:tc>
      </w:tr>
    </w:tbl>
    <w:p w:rsidR="00BE2C99" w:rsidRDefault="00BE2C99">
      <w:pPr>
        <w:spacing w:after="0"/>
      </w:pPr>
    </w:p>
    <w:p w:rsidR="00BE2C99" w:rsidRDefault="005B7AC4">
      <w:pPr>
        <w:jc w:val="both"/>
      </w:pPr>
      <w:r>
        <w:t>Porast troškova komunalnih usluga rezultat je povećanja cijena dobavljača za odvoz i zbrinjavanje infektivnog otpada. Na navedeni porast dodatno je utjecalo i poskupljenje vodoopskrbe koje je stupilo na snagu u rujnu 2025. godine.</w:t>
      </w:r>
    </w:p>
    <w:p w:rsidR="00BE2C99" w:rsidRDefault="00BE2C99"/>
    <w:p w:rsidR="00BE2C99" w:rsidRDefault="005B7AC4">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w:t>
            </w:r>
            <w:r>
              <w:rPr>
                <w:b/>
                <w:sz w:val="18"/>
              </w:rPr>
              <w:t>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5B7AC4">
            <w:pPr>
              <w:keepNext/>
              <w:keepLines/>
              <w:spacing w:after="0" w:line="240" w:lineRule="auto"/>
            </w:pPr>
            <w:r>
              <w:rPr>
                <w:sz w:val="18"/>
              </w:rPr>
              <w:t>3235</w:t>
            </w:r>
          </w:p>
        </w:tc>
        <w:tc>
          <w:tcPr>
            <w:tcW w:w="3180" w:type="dxa"/>
            <w:tcMar>
              <w:top w:w="0" w:type="dxa"/>
              <w:bottom w:w="0" w:type="dxa"/>
            </w:tcMar>
            <w:vAlign w:val="center"/>
          </w:tcPr>
          <w:p w:rsidR="00BE2C99" w:rsidRDefault="005B7AC4">
            <w:pPr>
              <w:keepNext/>
              <w:keepLines/>
              <w:spacing w:after="0" w:line="240" w:lineRule="auto"/>
            </w:pPr>
            <w:r>
              <w:rPr>
                <w:sz w:val="18"/>
              </w:rPr>
              <w:t>Zakupnine i najamnine</w:t>
            </w:r>
          </w:p>
        </w:tc>
        <w:tc>
          <w:tcPr>
            <w:tcW w:w="700" w:type="dxa"/>
            <w:tcMar>
              <w:top w:w="0" w:type="dxa"/>
              <w:bottom w:w="0" w:type="dxa"/>
            </w:tcMar>
            <w:vAlign w:val="center"/>
          </w:tcPr>
          <w:p w:rsidR="00BE2C99" w:rsidRDefault="005B7AC4">
            <w:pPr>
              <w:keepNext/>
              <w:keepLines/>
              <w:spacing w:after="0" w:line="240" w:lineRule="auto"/>
            </w:pPr>
            <w:r>
              <w:rPr>
                <w:sz w:val="18"/>
              </w:rPr>
              <w:t>3235</w:t>
            </w:r>
          </w:p>
        </w:tc>
        <w:tc>
          <w:tcPr>
            <w:tcW w:w="1860" w:type="dxa"/>
            <w:tcMar>
              <w:top w:w="0" w:type="dxa"/>
              <w:bottom w:w="0" w:type="dxa"/>
            </w:tcMar>
            <w:vAlign w:val="center"/>
          </w:tcPr>
          <w:p w:rsidR="00BE2C99" w:rsidRDefault="005B7AC4">
            <w:pPr>
              <w:keepNext/>
              <w:keepLines/>
              <w:spacing w:after="0" w:line="240" w:lineRule="auto"/>
              <w:jc w:val="right"/>
            </w:pPr>
            <w:r>
              <w:rPr>
                <w:sz w:val="18"/>
              </w:rPr>
              <w:t>4.343,53</w:t>
            </w:r>
          </w:p>
        </w:tc>
        <w:tc>
          <w:tcPr>
            <w:tcW w:w="1860" w:type="dxa"/>
            <w:tcMar>
              <w:top w:w="0" w:type="dxa"/>
              <w:bottom w:w="0" w:type="dxa"/>
            </w:tcMar>
            <w:vAlign w:val="center"/>
          </w:tcPr>
          <w:p w:rsidR="00BE2C99" w:rsidRDefault="005B7AC4">
            <w:pPr>
              <w:keepNext/>
              <w:keepLines/>
              <w:spacing w:after="0" w:line="240" w:lineRule="auto"/>
              <w:jc w:val="right"/>
            </w:pPr>
            <w:r>
              <w:rPr>
                <w:sz w:val="18"/>
              </w:rPr>
              <w:t>10.769,28</w:t>
            </w:r>
          </w:p>
        </w:tc>
        <w:tc>
          <w:tcPr>
            <w:tcW w:w="700" w:type="dxa"/>
            <w:tcMar>
              <w:top w:w="0" w:type="dxa"/>
              <w:bottom w:w="0" w:type="dxa"/>
            </w:tcMar>
            <w:vAlign w:val="center"/>
          </w:tcPr>
          <w:p w:rsidR="00BE2C99" w:rsidRDefault="005B7AC4">
            <w:pPr>
              <w:keepNext/>
              <w:keepLines/>
              <w:spacing w:after="0" w:line="240" w:lineRule="auto"/>
              <w:jc w:val="right"/>
            </w:pPr>
            <w:r>
              <w:rPr>
                <w:sz w:val="18"/>
              </w:rPr>
              <w:t>247,9</w:t>
            </w:r>
          </w:p>
        </w:tc>
      </w:tr>
    </w:tbl>
    <w:p w:rsidR="00BE2C99" w:rsidRDefault="00BE2C99">
      <w:pPr>
        <w:spacing w:after="0"/>
      </w:pPr>
    </w:p>
    <w:p w:rsidR="00BE2C99" w:rsidRDefault="005B7AC4">
      <w:r>
        <w:t>Porast troškova zakupnina i najamnina rezultat je obilježavanja 30. Obljetnice rada Zavoda te potrebe za najmom dodatne opreme (audio i video oprema, rasvjeta, inventar).</w:t>
      </w:r>
    </w:p>
    <w:p w:rsidR="00BE2C99" w:rsidRDefault="00BE2C99"/>
    <w:p w:rsidR="00BE2C99" w:rsidRDefault="005B7AC4">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w:t>
            </w:r>
            <w:r>
              <w:rPr>
                <w:b/>
                <w:sz w:val="18"/>
              </w:rPr>
              <w:t>u prethodne godine</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5B7AC4">
            <w:pPr>
              <w:keepNext/>
              <w:keepLines/>
              <w:spacing w:after="0" w:line="240" w:lineRule="auto"/>
            </w:pPr>
            <w:r>
              <w:rPr>
                <w:sz w:val="18"/>
              </w:rPr>
              <w:t>3236</w:t>
            </w:r>
          </w:p>
        </w:tc>
        <w:tc>
          <w:tcPr>
            <w:tcW w:w="3180" w:type="dxa"/>
            <w:tcMar>
              <w:top w:w="0" w:type="dxa"/>
              <w:bottom w:w="0" w:type="dxa"/>
            </w:tcMar>
            <w:vAlign w:val="center"/>
          </w:tcPr>
          <w:p w:rsidR="00BE2C99" w:rsidRDefault="005B7AC4">
            <w:pPr>
              <w:keepNext/>
              <w:keepLines/>
              <w:spacing w:after="0" w:line="240" w:lineRule="auto"/>
            </w:pPr>
            <w:r>
              <w:rPr>
                <w:sz w:val="18"/>
              </w:rPr>
              <w:t>Zdravstvene i veterinarske usluge</w:t>
            </w:r>
          </w:p>
        </w:tc>
        <w:tc>
          <w:tcPr>
            <w:tcW w:w="700" w:type="dxa"/>
            <w:tcMar>
              <w:top w:w="0" w:type="dxa"/>
              <w:bottom w:w="0" w:type="dxa"/>
            </w:tcMar>
            <w:vAlign w:val="center"/>
          </w:tcPr>
          <w:p w:rsidR="00BE2C99" w:rsidRDefault="005B7AC4">
            <w:pPr>
              <w:keepNext/>
              <w:keepLines/>
              <w:spacing w:after="0" w:line="240" w:lineRule="auto"/>
            </w:pPr>
            <w:r>
              <w:rPr>
                <w:sz w:val="18"/>
              </w:rPr>
              <w:t>3236</w:t>
            </w:r>
          </w:p>
        </w:tc>
        <w:tc>
          <w:tcPr>
            <w:tcW w:w="1860" w:type="dxa"/>
            <w:tcMar>
              <w:top w:w="0" w:type="dxa"/>
              <w:bottom w:w="0" w:type="dxa"/>
            </w:tcMar>
            <w:vAlign w:val="center"/>
          </w:tcPr>
          <w:p w:rsidR="00BE2C99" w:rsidRDefault="005B7AC4">
            <w:pPr>
              <w:keepNext/>
              <w:keepLines/>
              <w:spacing w:after="0" w:line="240" w:lineRule="auto"/>
              <w:jc w:val="right"/>
            </w:pPr>
            <w:r>
              <w:rPr>
                <w:sz w:val="18"/>
              </w:rPr>
              <w:t>62.342,34</w:t>
            </w:r>
          </w:p>
        </w:tc>
        <w:tc>
          <w:tcPr>
            <w:tcW w:w="1860" w:type="dxa"/>
            <w:tcMar>
              <w:top w:w="0" w:type="dxa"/>
              <w:bottom w:w="0" w:type="dxa"/>
            </w:tcMar>
            <w:vAlign w:val="center"/>
          </w:tcPr>
          <w:p w:rsidR="00BE2C99" w:rsidRDefault="005B7AC4">
            <w:pPr>
              <w:keepNext/>
              <w:keepLines/>
              <w:spacing w:after="0" w:line="240" w:lineRule="auto"/>
              <w:jc w:val="right"/>
            </w:pPr>
            <w:r>
              <w:rPr>
                <w:sz w:val="18"/>
              </w:rPr>
              <w:t>87.250,39</w:t>
            </w:r>
          </w:p>
        </w:tc>
        <w:tc>
          <w:tcPr>
            <w:tcW w:w="700" w:type="dxa"/>
            <w:tcMar>
              <w:top w:w="0" w:type="dxa"/>
              <w:bottom w:w="0" w:type="dxa"/>
            </w:tcMar>
            <w:vAlign w:val="center"/>
          </w:tcPr>
          <w:p w:rsidR="00BE2C99" w:rsidRDefault="005B7AC4">
            <w:pPr>
              <w:keepNext/>
              <w:keepLines/>
              <w:spacing w:after="0" w:line="240" w:lineRule="auto"/>
              <w:jc w:val="right"/>
            </w:pPr>
            <w:r>
              <w:rPr>
                <w:sz w:val="18"/>
              </w:rPr>
              <w:t>140,0</w:t>
            </w:r>
          </w:p>
        </w:tc>
      </w:tr>
    </w:tbl>
    <w:p w:rsidR="00BE2C99" w:rsidRDefault="00BE2C99">
      <w:pPr>
        <w:spacing w:after="0"/>
      </w:pPr>
    </w:p>
    <w:p w:rsidR="00BE2C99" w:rsidRDefault="005B7AC4">
      <w:pPr>
        <w:jc w:val="both"/>
      </w:pPr>
      <w:r>
        <w:t xml:space="preserve">Povećanje troškova zdravstvenih i veterinarskih usluga u 2025. godini proizlazi iz uvođenja obveznih analiza parametara kućne vodoopskrbne mreže (na prisutnost </w:t>
      </w:r>
      <w:proofErr w:type="spellStart"/>
      <w:r>
        <w:t>legionele</w:t>
      </w:r>
      <w:proofErr w:type="spellEnd"/>
      <w:r>
        <w:t xml:space="preserve"> i olova). Navedena ispitivanja za Zavod provodi vanjski ovlašteni laboratorij, a buduć</w:t>
      </w:r>
      <w:r>
        <w:t>i da se sustavno provode od prosinca 2024. godine, u 2025. je zabilježen značajan porast rashoda u odnosu na prethodno razdoblje.</w:t>
      </w:r>
      <w:r>
        <w:br/>
        <w:t> </w:t>
      </w:r>
    </w:p>
    <w:p w:rsidR="00BE2C99" w:rsidRDefault="00BE2C99"/>
    <w:p w:rsidR="00BE2C99" w:rsidRDefault="005B7AC4">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w:t>
            </w:r>
            <w:r>
              <w:rPr>
                <w:b/>
                <w:sz w:val="18"/>
              </w:rPr>
              <w:t>jnom razdoblju tekuće godine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5B7AC4">
            <w:pPr>
              <w:keepNext/>
              <w:keepLines/>
              <w:spacing w:after="0" w:line="240" w:lineRule="auto"/>
            </w:pPr>
            <w:r>
              <w:rPr>
                <w:sz w:val="18"/>
              </w:rPr>
              <w:t>3239</w:t>
            </w:r>
          </w:p>
        </w:tc>
        <w:tc>
          <w:tcPr>
            <w:tcW w:w="3180" w:type="dxa"/>
            <w:tcMar>
              <w:top w:w="0" w:type="dxa"/>
              <w:bottom w:w="0" w:type="dxa"/>
            </w:tcMar>
            <w:vAlign w:val="center"/>
          </w:tcPr>
          <w:p w:rsidR="00BE2C99" w:rsidRDefault="005B7AC4">
            <w:pPr>
              <w:keepNext/>
              <w:keepLines/>
              <w:spacing w:after="0" w:line="240" w:lineRule="auto"/>
            </w:pPr>
            <w:r>
              <w:rPr>
                <w:sz w:val="18"/>
              </w:rPr>
              <w:t>Ostale usluge</w:t>
            </w:r>
          </w:p>
        </w:tc>
        <w:tc>
          <w:tcPr>
            <w:tcW w:w="700" w:type="dxa"/>
            <w:tcMar>
              <w:top w:w="0" w:type="dxa"/>
              <w:bottom w:w="0" w:type="dxa"/>
            </w:tcMar>
            <w:vAlign w:val="center"/>
          </w:tcPr>
          <w:p w:rsidR="00BE2C99" w:rsidRDefault="005B7AC4">
            <w:pPr>
              <w:keepNext/>
              <w:keepLines/>
              <w:spacing w:after="0" w:line="240" w:lineRule="auto"/>
            </w:pPr>
            <w:r>
              <w:rPr>
                <w:sz w:val="18"/>
              </w:rPr>
              <w:t>3239</w:t>
            </w:r>
          </w:p>
        </w:tc>
        <w:tc>
          <w:tcPr>
            <w:tcW w:w="1860" w:type="dxa"/>
            <w:tcMar>
              <w:top w:w="0" w:type="dxa"/>
              <w:bottom w:w="0" w:type="dxa"/>
            </w:tcMar>
            <w:vAlign w:val="center"/>
          </w:tcPr>
          <w:p w:rsidR="00BE2C99" w:rsidRDefault="005B7AC4">
            <w:pPr>
              <w:keepNext/>
              <w:keepLines/>
              <w:spacing w:after="0" w:line="240" w:lineRule="auto"/>
              <w:jc w:val="right"/>
            </w:pPr>
            <w:r>
              <w:rPr>
                <w:sz w:val="18"/>
              </w:rPr>
              <w:t>43.650,54</w:t>
            </w:r>
          </w:p>
        </w:tc>
        <w:tc>
          <w:tcPr>
            <w:tcW w:w="1860" w:type="dxa"/>
            <w:tcMar>
              <w:top w:w="0" w:type="dxa"/>
              <w:bottom w:w="0" w:type="dxa"/>
            </w:tcMar>
            <w:vAlign w:val="center"/>
          </w:tcPr>
          <w:p w:rsidR="00BE2C99" w:rsidRDefault="005B7AC4">
            <w:pPr>
              <w:keepNext/>
              <w:keepLines/>
              <w:spacing w:after="0" w:line="240" w:lineRule="auto"/>
              <w:jc w:val="right"/>
            </w:pPr>
            <w:r>
              <w:rPr>
                <w:sz w:val="18"/>
              </w:rPr>
              <w:t>37.438,91</w:t>
            </w:r>
          </w:p>
        </w:tc>
        <w:tc>
          <w:tcPr>
            <w:tcW w:w="700" w:type="dxa"/>
            <w:tcMar>
              <w:top w:w="0" w:type="dxa"/>
              <w:bottom w:w="0" w:type="dxa"/>
            </w:tcMar>
            <w:vAlign w:val="center"/>
          </w:tcPr>
          <w:p w:rsidR="00BE2C99" w:rsidRDefault="005B7AC4">
            <w:pPr>
              <w:keepNext/>
              <w:keepLines/>
              <w:spacing w:after="0" w:line="240" w:lineRule="auto"/>
              <w:jc w:val="right"/>
            </w:pPr>
            <w:r>
              <w:rPr>
                <w:sz w:val="18"/>
              </w:rPr>
              <w:t>85,8</w:t>
            </w:r>
          </w:p>
        </w:tc>
      </w:tr>
    </w:tbl>
    <w:p w:rsidR="00BE2C99" w:rsidRDefault="00BE2C99">
      <w:pPr>
        <w:spacing w:after="0"/>
      </w:pPr>
    </w:p>
    <w:p w:rsidR="00BE2C99" w:rsidRDefault="005B7AC4">
      <w:pPr>
        <w:jc w:val="both"/>
      </w:pPr>
      <w:r>
        <w:lastRenderedPageBreak/>
        <w:t xml:space="preserve">Trošak ostalih usluga je veći u 2024. godini iz razloga tiska slikovnice „Alkohol rugalica u gostima“ autorice Diane </w:t>
      </w:r>
      <w:proofErr w:type="spellStart"/>
      <w:r>
        <w:t>Uvodić</w:t>
      </w:r>
      <w:proofErr w:type="spellEnd"/>
      <w:r>
        <w:t xml:space="preserve">-Đurić, </w:t>
      </w:r>
      <w:proofErr w:type="spellStart"/>
      <w:r>
        <w:t>dr.med</w:t>
      </w:r>
      <w:proofErr w:type="spellEnd"/>
      <w:r>
        <w:t>., namijenjen odgojno-obrazovnim djelatnicima te djeci i roditeljima s ciljem poticanja preventivnog rada s djecom pred</w:t>
      </w:r>
      <w:r>
        <w:t xml:space="preserve">školske i rane školske dobi te usvajanja pravilnih stavova o konzumaciji alkohola i njegovom štetnom djelovanju. Trošak je </w:t>
      </w:r>
      <w:proofErr w:type="spellStart"/>
      <w:r>
        <w:t>pokrivren</w:t>
      </w:r>
      <w:proofErr w:type="spellEnd"/>
      <w:r>
        <w:t xml:space="preserve"> sredstvima Ministarstva zdravstva iz programa "</w:t>
      </w:r>
      <w:proofErr w:type="spellStart"/>
      <w:r>
        <w:t>Hote</w:t>
      </w:r>
      <w:proofErr w:type="spellEnd"/>
      <w:r>
        <w:t xml:space="preserve"> v </w:t>
      </w:r>
      <w:proofErr w:type="spellStart"/>
      <w:r>
        <w:t>brege</w:t>
      </w:r>
      <w:proofErr w:type="spellEnd"/>
      <w:r>
        <w:t xml:space="preserve"> naše de ni </w:t>
      </w:r>
      <w:proofErr w:type="spellStart"/>
      <w:r>
        <w:t>jena</w:t>
      </w:r>
      <w:proofErr w:type="spellEnd"/>
      <w:r>
        <w:t xml:space="preserve"> ovisnost ne paše".</w:t>
      </w:r>
    </w:p>
    <w:p w:rsidR="00BE2C99" w:rsidRDefault="00BE2C99"/>
    <w:p w:rsidR="00BE2C99" w:rsidRDefault="005B7AC4">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xml:space="preserve">. </w:t>
            </w:r>
            <w:r>
              <w:rPr>
                <w:b/>
                <w:sz w:val="18"/>
              </w:rPr>
              <w:t>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5B7AC4">
            <w:pPr>
              <w:keepNext/>
              <w:keepLines/>
              <w:spacing w:after="0" w:line="240" w:lineRule="auto"/>
            </w:pPr>
            <w:r>
              <w:rPr>
                <w:sz w:val="18"/>
              </w:rPr>
              <w:t>3251</w:t>
            </w:r>
          </w:p>
        </w:tc>
        <w:tc>
          <w:tcPr>
            <w:tcW w:w="3180" w:type="dxa"/>
            <w:tcMar>
              <w:top w:w="0" w:type="dxa"/>
              <w:bottom w:w="0" w:type="dxa"/>
            </w:tcMar>
            <w:vAlign w:val="center"/>
          </w:tcPr>
          <w:p w:rsidR="00BE2C99" w:rsidRDefault="005B7AC4">
            <w:pPr>
              <w:keepNext/>
              <w:keepLines/>
              <w:spacing w:after="0" w:line="240" w:lineRule="auto"/>
            </w:pPr>
            <w:r>
              <w:rPr>
                <w:sz w:val="18"/>
              </w:rPr>
              <w:t>Rashodi po osnovi utroška lijekova i potrošnog medicinskog materijala</w:t>
            </w:r>
          </w:p>
        </w:tc>
        <w:tc>
          <w:tcPr>
            <w:tcW w:w="700" w:type="dxa"/>
            <w:tcMar>
              <w:top w:w="0" w:type="dxa"/>
              <w:bottom w:w="0" w:type="dxa"/>
            </w:tcMar>
            <w:vAlign w:val="center"/>
          </w:tcPr>
          <w:p w:rsidR="00BE2C99" w:rsidRDefault="005B7AC4">
            <w:pPr>
              <w:keepNext/>
              <w:keepLines/>
              <w:spacing w:after="0" w:line="240" w:lineRule="auto"/>
            </w:pPr>
            <w:r>
              <w:rPr>
                <w:sz w:val="18"/>
              </w:rPr>
              <w:t>3251</w:t>
            </w:r>
          </w:p>
        </w:tc>
        <w:tc>
          <w:tcPr>
            <w:tcW w:w="1860" w:type="dxa"/>
            <w:tcMar>
              <w:top w:w="0" w:type="dxa"/>
              <w:bottom w:w="0" w:type="dxa"/>
            </w:tcMar>
            <w:vAlign w:val="center"/>
          </w:tcPr>
          <w:p w:rsidR="00BE2C99" w:rsidRDefault="005B7AC4">
            <w:pPr>
              <w:keepNext/>
              <w:keepLines/>
              <w:spacing w:after="0" w:line="240" w:lineRule="auto"/>
              <w:jc w:val="right"/>
            </w:pPr>
            <w:r>
              <w:rPr>
                <w:sz w:val="18"/>
              </w:rPr>
              <w:t>0,00</w:t>
            </w:r>
          </w:p>
        </w:tc>
        <w:tc>
          <w:tcPr>
            <w:tcW w:w="1860" w:type="dxa"/>
            <w:tcMar>
              <w:top w:w="0" w:type="dxa"/>
              <w:bottom w:w="0" w:type="dxa"/>
            </w:tcMar>
            <w:vAlign w:val="center"/>
          </w:tcPr>
          <w:p w:rsidR="00BE2C99" w:rsidRDefault="005B7AC4">
            <w:pPr>
              <w:keepNext/>
              <w:keepLines/>
              <w:spacing w:after="0" w:line="240" w:lineRule="auto"/>
              <w:jc w:val="right"/>
            </w:pPr>
            <w:r>
              <w:rPr>
                <w:sz w:val="18"/>
              </w:rPr>
              <w:t>760.984,68</w:t>
            </w:r>
          </w:p>
        </w:tc>
        <w:tc>
          <w:tcPr>
            <w:tcW w:w="700" w:type="dxa"/>
            <w:tcMar>
              <w:top w:w="0" w:type="dxa"/>
              <w:bottom w:w="0" w:type="dxa"/>
            </w:tcMar>
            <w:vAlign w:val="center"/>
          </w:tcPr>
          <w:p w:rsidR="00BE2C99" w:rsidRDefault="005B7AC4">
            <w:pPr>
              <w:keepNext/>
              <w:keepLines/>
              <w:spacing w:after="0" w:line="240" w:lineRule="auto"/>
              <w:jc w:val="right"/>
            </w:pPr>
            <w:r>
              <w:rPr>
                <w:sz w:val="18"/>
              </w:rPr>
              <w:t>-</w:t>
            </w:r>
          </w:p>
        </w:tc>
      </w:tr>
    </w:tbl>
    <w:p w:rsidR="00BE2C99" w:rsidRDefault="00BE2C99">
      <w:pPr>
        <w:spacing w:after="0"/>
      </w:pPr>
    </w:p>
    <w:p w:rsidR="00BE2C99" w:rsidRDefault="005B7AC4">
      <w:pPr>
        <w:jc w:val="both"/>
      </w:pPr>
      <w:r>
        <w:t xml:space="preserve">Sukladno novom Pravilniku o proračunskom računovodstvu i računskom planu (NN 158/23,14/24) rashode za lijekove i potrošni medicinski materijal u 2025. godini knjiže se na novi odjeljak računa u računskom planu- 325 Rashodi lijekova i potrošnog medicinskog </w:t>
      </w:r>
      <w:r>
        <w:t>materijala, dok su isti u 2024. godini bili knjiženi u okviru odjeljka 322.</w:t>
      </w:r>
    </w:p>
    <w:p w:rsidR="00BE2C99" w:rsidRDefault="00BE2C99"/>
    <w:p w:rsidR="00BE2C99" w:rsidRDefault="005B7AC4">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5B7AC4">
            <w:pPr>
              <w:keepNext/>
              <w:keepLines/>
              <w:spacing w:after="0" w:line="240" w:lineRule="auto"/>
            </w:pPr>
            <w:r>
              <w:rPr>
                <w:sz w:val="18"/>
              </w:rPr>
              <w:t>3253</w:t>
            </w:r>
          </w:p>
        </w:tc>
        <w:tc>
          <w:tcPr>
            <w:tcW w:w="3180" w:type="dxa"/>
            <w:tcMar>
              <w:top w:w="0" w:type="dxa"/>
              <w:bottom w:w="0" w:type="dxa"/>
            </w:tcMar>
            <w:vAlign w:val="center"/>
          </w:tcPr>
          <w:p w:rsidR="00BE2C99" w:rsidRDefault="005B7AC4">
            <w:pPr>
              <w:keepNext/>
              <w:keepLines/>
              <w:spacing w:after="0" w:line="240" w:lineRule="auto"/>
            </w:pPr>
            <w:r>
              <w:rPr>
                <w:sz w:val="18"/>
              </w:rPr>
              <w:t>Rashodi po</w:t>
            </w:r>
            <w:r>
              <w:rPr>
                <w:sz w:val="18"/>
              </w:rPr>
              <w:t xml:space="preserve"> osnovi donacije lijekova i potrošnog medicinskog materijala</w:t>
            </w:r>
          </w:p>
        </w:tc>
        <w:tc>
          <w:tcPr>
            <w:tcW w:w="700" w:type="dxa"/>
            <w:tcMar>
              <w:top w:w="0" w:type="dxa"/>
              <w:bottom w:w="0" w:type="dxa"/>
            </w:tcMar>
            <w:vAlign w:val="center"/>
          </w:tcPr>
          <w:p w:rsidR="00BE2C99" w:rsidRDefault="005B7AC4">
            <w:pPr>
              <w:keepNext/>
              <w:keepLines/>
              <w:spacing w:after="0" w:line="240" w:lineRule="auto"/>
            </w:pPr>
            <w:r>
              <w:rPr>
                <w:sz w:val="18"/>
              </w:rPr>
              <w:t>3253</w:t>
            </w:r>
          </w:p>
        </w:tc>
        <w:tc>
          <w:tcPr>
            <w:tcW w:w="1860" w:type="dxa"/>
            <w:tcMar>
              <w:top w:w="0" w:type="dxa"/>
              <w:bottom w:w="0" w:type="dxa"/>
            </w:tcMar>
            <w:vAlign w:val="center"/>
          </w:tcPr>
          <w:p w:rsidR="00BE2C99" w:rsidRDefault="005B7AC4">
            <w:pPr>
              <w:keepNext/>
              <w:keepLines/>
              <w:spacing w:after="0" w:line="240" w:lineRule="auto"/>
              <w:jc w:val="right"/>
            </w:pPr>
            <w:r>
              <w:rPr>
                <w:sz w:val="18"/>
              </w:rPr>
              <w:t>0,00</w:t>
            </w:r>
          </w:p>
        </w:tc>
        <w:tc>
          <w:tcPr>
            <w:tcW w:w="1860" w:type="dxa"/>
            <w:tcMar>
              <w:top w:w="0" w:type="dxa"/>
              <w:bottom w:w="0" w:type="dxa"/>
            </w:tcMar>
            <w:vAlign w:val="center"/>
          </w:tcPr>
          <w:p w:rsidR="00BE2C99" w:rsidRDefault="005B7AC4">
            <w:pPr>
              <w:keepNext/>
              <w:keepLines/>
              <w:spacing w:after="0" w:line="240" w:lineRule="auto"/>
              <w:jc w:val="right"/>
            </w:pPr>
            <w:r>
              <w:rPr>
                <w:sz w:val="18"/>
              </w:rPr>
              <w:t>1.614,38</w:t>
            </w:r>
          </w:p>
        </w:tc>
        <w:tc>
          <w:tcPr>
            <w:tcW w:w="700" w:type="dxa"/>
            <w:tcMar>
              <w:top w:w="0" w:type="dxa"/>
              <w:bottom w:w="0" w:type="dxa"/>
            </w:tcMar>
            <w:vAlign w:val="center"/>
          </w:tcPr>
          <w:p w:rsidR="00BE2C99" w:rsidRDefault="005B7AC4">
            <w:pPr>
              <w:keepNext/>
              <w:keepLines/>
              <w:spacing w:after="0" w:line="240" w:lineRule="auto"/>
              <w:jc w:val="right"/>
            </w:pPr>
            <w:r>
              <w:rPr>
                <w:sz w:val="18"/>
              </w:rPr>
              <w:t>-</w:t>
            </w:r>
          </w:p>
        </w:tc>
      </w:tr>
    </w:tbl>
    <w:p w:rsidR="00BE2C99" w:rsidRDefault="00BE2C99">
      <w:pPr>
        <w:spacing w:after="0"/>
      </w:pPr>
    </w:p>
    <w:p w:rsidR="00BE2C99" w:rsidRDefault="005B7AC4">
      <w:r>
        <w:t>U 2025. godini od Županijske lige protiv raka Čakovec primljeno je 30 HPV testova u vrijednosti od 1.614,38 EUR, financiranih sredstvima iz akcije 'Dan mimoza'.  Isti testovi utrošeni su u tijeku 2025. godine.</w:t>
      </w:r>
    </w:p>
    <w:p w:rsidR="00BE2C99" w:rsidRDefault="00BE2C99"/>
    <w:p w:rsidR="00BE2C99" w:rsidRDefault="005B7AC4">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5B7AC4">
            <w:pPr>
              <w:keepNext/>
              <w:keepLines/>
              <w:spacing w:after="0" w:line="240" w:lineRule="auto"/>
            </w:pPr>
            <w:r>
              <w:rPr>
                <w:sz w:val="18"/>
              </w:rPr>
              <w:t>3292</w:t>
            </w:r>
          </w:p>
        </w:tc>
        <w:tc>
          <w:tcPr>
            <w:tcW w:w="3180" w:type="dxa"/>
            <w:tcMar>
              <w:top w:w="0" w:type="dxa"/>
              <w:bottom w:w="0" w:type="dxa"/>
            </w:tcMar>
            <w:vAlign w:val="center"/>
          </w:tcPr>
          <w:p w:rsidR="00BE2C99" w:rsidRDefault="005B7AC4">
            <w:pPr>
              <w:keepNext/>
              <w:keepLines/>
              <w:spacing w:after="0" w:line="240" w:lineRule="auto"/>
            </w:pPr>
            <w:r>
              <w:rPr>
                <w:sz w:val="18"/>
              </w:rPr>
              <w:t>Premije osiguranja</w:t>
            </w:r>
          </w:p>
        </w:tc>
        <w:tc>
          <w:tcPr>
            <w:tcW w:w="700" w:type="dxa"/>
            <w:tcMar>
              <w:top w:w="0" w:type="dxa"/>
              <w:bottom w:w="0" w:type="dxa"/>
            </w:tcMar>
            <w:vAlign w:val="center"/>
          </w:tcPr>
          <w:p w:rsidR="00BE2C99" w:rsidRDefault="005B7AC4">
            <w:pPr>
              <w:keepNext/>
              <w:keepLines/>
              <w:spacing w:after="0" w:line="240" w:lineRule="auto"/>
            </w:pPr>
            <w:r>
              <w:rPr>
                <w:sz w:val="18"/>
              </w:rPr>
              <w:t>3292</w:t>
            </w:r>
          </w:p>
        </w:tc>
        <w:tc>
          <w:tcPr>
            <w:tcW w:w="1860" w:type="dxa"/>
            <w:tcMar>
              <w:top w:w="0" w:type="dxa"/>
              <w:bottom w:w="0" w:type="dxa"/>
            </w:tcMar>
            <w:vAlign w:val="center"/>
          </w:tcPr>
          <w:p w:rsidR="00BE2C99" w:rsidRDefault="005B7AC4">
            <w:pPr>
              <w:keepNext/>
              <w:keepLines/>
              <w:spacing w:after="0" w:line="240" w:lineRule="auto"/>
              <w:jc w:val="right"/>
            </w:pPr>
            <w:r>
              <w:rPr>
                <w:sz w:val="18"/>
              </w:rPr>
              <w:t>12.493,94</w:t>
            </w:r>
          </w:p>
        </w:tc>
        <w:tc>
          <w:tcPr>
            <w:tcW w:w="1860" w:type="dxa"/>
            <w:tcMar>
              <w:top w:w="0" w:type="dxa"/>
              <w:bottom w:w="0" w:type="dxa"/>
            </w:tcMar>
            <w:vAlign w:val="center"/>
          </w:tcPr>
          <w:p w:rsidR="00BE2C99" w:rsidRDefault="005B7AC4">
            <w:pPr>
              <w:keepNext/>
              <w:keepLines/>
              <w:spacing w:after="0" w:line="240" w:lineRule="auto"/>
              <w:jc w:val="right"/>
            </w:pPr>
            <w:r>
              <w:rPr>
                <w:sz w:val="18"/>
              </w:rPr>
              <w:t>15.840,57</w:t>
            </w:r>
          </w:p>
        </w:tc>
        <w:tc>
          <w:tcPr>
            <w:tcW w:w="700" w:type="dxa"/>
            <w:tcMar>
              <w:top w:w="0" w:type="dxa"/>
              <w:bottom w:w="0" w:type="dxa"/>
            </w:tcMar>
            <w:vAlign w:val="center"/>
          </w:tcPr>
          <w:p w:rsidR="00BE2C99" w:rsidRDefault="005B7AC4">
            <w:pPr>
              <w:keepNext/>
              <w:keepLines/>
              <w:spacing w:after="0" w:line="240" w:lineRule="auto"/>
              <w:jc w:val="right"/>
            </w:pPr>
            <w:r>
              <w:rPr>
                <w:sz w:val="18"/>
              </w:rPr>
              <w:t>126,8</w:t>
            </w:r>
          </w:p>
        </w:tc>
      </w:tr>
    </w:tbl>
    <w:p w:rsidR="00BE2C99" w:rsidRDefault="00BE2C99">
      <w:pPr>
        <w:spacing w:after="0"/>
      </w:pPr>
    </w:p>
    <w:p w:rsidR="00BE2C99" w:rsidRDefault="005B7AC4">
      <w:pPr>
        <w:jc w:val="both"/>
      </w:pPr>
      <w:r>
        <w:t>Porast troškova premija osiguranja rezultat je povećanja vrijednosti imovine nakon adaptacije i dogradnje Paviljona 4, kao i nabave nove opreme. Na rast troškova u 2025. godini dodatno je utjecalo ugovaranje osiguranja za opremu kojoj je tijekom 2024. godi</w:t>
      </w:r>
      <w:r>
        <w:t>ne isteklo tvorničko jamstvo, zbog čega je ista naknadno uključena u policu osiguranja.</w:t>
      </w:r>
    </w:p>
    <w:p w:rsidR="00BE2C99" w:rsidRDefault="00BE2C99"/>
    <w:p w:rsidR="00BE2C99" w:rsidRDefault="005B7AC4">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5B7AC4">
            <w:pPr>
              <w:keepNext/>
              <w:keepLines/>
              <w:spacing w:after="0" w:line="240" w:lineRule="auto"/>
            </w:pPr>
            <w:r>
              <w:rPr>
                <w:sz w:val="18"/>
              </w:rPr>
              <w:t>3295</w:t>
            </w:r>
          </w:p>
        </w:tc>
        <w:tc>
          <w:tcPr>
            <w:tcW w:w="3180" w:type="dxa"/>
            <w:tcMar>
              <w:top w:w="0" w:type="dxa"/>
              <w:bottom w:w="0" w:type="dxa"/>
            </w:tcMar>
            <w:vAlign w:val="center"/>
          </w:tcPr>
          <w:p w:rsidR="00BE2C99" w:rsidRDefault="005B7AC4">
            <w:pPr>
              <w:keepNext/>
              <w:keepLines/>
              <w:spacing w:after="0" w:line="240" w:lineRule="auto"/>
            </w:pPr>
            <w:r>
              <w:rPr>
                <w:sz w:val="18"/>
              </w:rPr>
              <w:t>Pristojbe i naknade</w:t>
            </w:r>
          </w:p>
        </w:tc>
        <w:tc>
          <w:tcPr>
            <w:tcW w:w="700" w:type="dxa"/>
            <w:tcMar>
              <w:top w:w="0" w:type="dxa"/>
              <w:bottom w:w="0" w:type="dxa"/>
            </w:tcMar>
            <w:vAlign w:val="center"/>
          </w:tcPr>
          <w:p w:rsidR="00BE2C99" w:rsidRDefault="005B7AC4">
            <w:pPr>
              <w:keepNext/>
              <w:keepLines/>
              <w:spacing w:after="0" w:line="240" w:lineRule="auto"/>
            </w:pPr>
            <w:r>
              <w:rPr>
                <w:sz w:val="18"/>
              </w:rPr>
              <w:t>3295</w:t>
            </w:r>
          </w:p>
        </w:tc>
        <w:tc>
          <w:tcPr>
            <w:tcW w:w="1860" w:type="dxa"/>
            <w:tcMar>
              <w:top w:w="0" w:type="dxa"/>
              <w:bottom w:w="0" w:type="dxa"/>
            </w:tcMar>
            <w:vAlign w:val="center"/>
          </w:tcPr>
          <w:p w:rsidR="00BE2C99" w:rsidRDefault="005B7AC4">
            <w:pPr>
              <w:keepNext/>
              <w:keepLines/>
              <w:spacing w:after="0" w:line="240" w:lineRule="auto"/>
              <w:jc w:val="right"/>
            </w:pPr>
            <w:r>
              <w:rPr>
                <w:sz w:val="18"/>
              </w:rPr>
              <w:t>910,96</w:t>
            </w:r>
          </w:p>
        </w:tc>
        <w:tc>
          <w:tcPr>
            <w:tcW w:w="1860" w:type="dxa"/>
            <w:tcMar>
              <w:top w:w="0" w:type="dxa"/>
              <w:bottom w:w="0" w:type="dxa"/>
            </w:tcMar>
            <w:vAlign w:val="center"/>
          </w:tcPr>
          <w:p w:rsidR="00BE2C99" w:rsidRDefault="005B7AC4">
            <w:pPr>
              <w:keepNext/>
              <w:keepLines/>
              <w:spacing w:after="0" w:line="240" w:lineRule="auto"/>
              <w:jc w:val="right"/>
            </w:pPr>
            <w:r>
              <w:rPr>
                <w:sz w:val="18"/>
              </w:rPr>
              <w:t>1.069,66</w:t>
            </w:r>
          </w:p>
        </w:tc>
        <w:tc>
          <w:tcPr>
            <w:tcW w:w="700" w:type="dxa"/>
            <w:tcMar>
              <w:top w:w="0" w:type="dxa"/>
              <w:bottom w:w="0" w:type="dxa"/>
            </w:tcMar>
            <w:vAlign w:val="center"/>
          </w:tcPr>
          <w:p w:rsidR="00BE2C99" w:rsidRDefault="005B7AC4">
            <w:pPr>
              <w:keepNext/>
              <w:keepLines/>
              <w:spacing w:after="0" w:line="240" w:lineRule="auto"/>
              <w:jc w:val="right"/>
            </w:pPr>
            <w:r>
              <w:rPr>
                <w:sz w:val="18"/>
              </w:rPr>
              <w:t>117,4</w:t>
            </w:r>
          </w:p>
        </w:tc>
      </w:tr>
    </w:tbl>
    <w:p w:rsidR="00BE2C99" w:rsidRDefault="00BE2C99">
      <w:pPr>
        <w:spacing w:after="0"/>
      </w:pPr>
    </w:p>
    <w:p w:rsidR="00BE2C99" w:rsidRDefault="005B7AC4">
      <w:pPr>
        <w:jc w:val="both"/>
      </w:pPr>
      <w:r>
        <w:t>Veći troškovi pristojbi u 2025. godini odnose se na usluge javnog bilježnika za ovjeru deponiranog potpisa ravnateljice.</w:t>
      </w:r>
    </w:p>
    <w:p w:rsidR="00BE2C99" w:rsidRDefault="00BE2C99"/>
    <w:p w:rsidR="00BE2C99" w:rsidRDefault="005B7AC4">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Ostvareno u izvještajnom </w:t>
            </w:r>
            <w:r>
              <w:rPr>
                <w:b/>
                <w:sz w:val="18"/>
              </w:rPr>
              <w:t>razdoblju prethodne godine</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5B7AC4">
            <w:pPr>
              <w:keepNext/>
              <w:keepLines/>
              <w:spacing w:after="0" w:line="240" w:lineRule="auto"/>
            </w:pPr>
            <w:r>
              <w:rPr>
                <w:sz w:val="18"/>
              </w:rPr>
              <w:t>3299</w:t>
            </w:r>
          </w:p>
        </w:tc>
        <w:tc>
          <w:tcPr>
            <w:tcW w:w="3180" w:type="dxa"/>
            <w:tcMar>
              <w:top w:w="0" w:type="dxa"/>
              <w:bottom w:w="0" w:type="dxa"/>
            </w:tcMar>
            <w:vAlign w:val="center"/>
          </w:tcPr>
          <w:p w:rsidR="00BE2C99" w:rsidRDefault="005B7AC4">
            <w:pPr>
              <w:keepNext/>
              <w:keepLines/>
              <w:spacing w:after="0" w:line="240" w:lineRule="auto"/>
            </w:pPr>
            <w:r>
              <w:rPr>
                <w:sz w:val="18"/>
              </w:rPr>
              <w:t>Ostali nespomenuti rashodi poslovanja</w:t>
            </w:r>
          </w:p>
        </w:tc>
        <w:tc>
          <w:tcPr>
            <w:tcW w:w="700" w:type="dxa"/>
            <w:tcMar>
              <w:top w:w="0" w:type="dxa"/>
              <w:bottom w:w="0" w:type="dxa"/>
            </w:tcMar>
            <w:vAlign w:val="center"/>
          </w:tcPr>
          <w:p w:rsidR="00BE2C99" w:rsidRDefault="005B7AC4">
            <w:pPr>
              <w:keepNext/>
              <w:keepLines/>
              <w:spacing w:after="0" w:line="240" w:lineRule="auto"/>
            </w:pPr>
            <w:r>
              <w:rPr>
                <w:sz w:val="18"/>
              </w:rPr>
              <w:t>3299</w:t>
            </w:r>
          </w:p>
        </w:tc>
        <w:tc>
          <w:tcPr>
            <w:tcW w:w="1860" w:type="dxa"/>
            <w:tcMar>
              <w:top w:w="0" w:type="dxa"/>
              <w:bottom w:w="0" w:type="dxa"/>
            </w:tcMar>
            <w:vAlign w:val="center"/>
          </w:tcPr>
          <w:p w:rsidR="00BE2C99" w:rsidRDefault="005B7AC4">
            <w:pPr>
              <w:keepNext/>
              <w:keepLines/>
              <w:spacing w:after="0" w:line="240" w:lineRule="auto"/>
              <w:jc w:val="right"/>
            </w:pPr>
            <w:r>
              <w:rPr>
                <w:sz w:val="18"/>
              </w:rPr>
              <w:t>2.679,95</w:t>
            </w:r>
          </w:p>
        </w:tc>
        <w:tc>
          <w:tcPr>
            <w:tcW w:w="1860" w:type="dxa"/>
            <w:tcMar>
              <w:top w:w="0" w:type="dxa"/>
              <w:bottom w:w="0" w:type="dxa"/>
            </w:tcMar>
            <w:vAlign w:val="center"/>
          </w:tcPr>
          <w:p w:rsidR="00BE2C99" w:rsidRDefault="005B7AC4">
            <w:pPr>
              <w:keepNext/>
              <w:keepLines/>
              <w:spacing w:after="0" w:line="240" w:lineRule="auto"/>
              <w:jc w:val="right"/>
            </w:pPr>
            <w:r>
              <w:rPr>
                <w:sz w:val="18"/>
              </w:rPr>
              <w:t>1.914,49</w:t>
            </w:r>
          </w:p>
        </w:tc>
        <w:tc>
          <w:tcPr>
            <w:tcW w:w="700" w:type="dxa"/>
            <w:tcMar>
              <w:top w:w="0" w:type="dxa"/>
              <w:bottom w:w="0" w:type="dxa"/>
            </w:tcMar>
            <w:vAlign w:val="center"/>
          </w:tcPr>
          <w:p w:rsidR="00BE2C99" w:rsidRDefault="005B7AC4">
            <w:pPr>
              <w:keepNext/>
              <w:keepLines/>
              <w:spacing w:after="0" w:line="240" w:lineRule="auto"/>
              <w:jc w:val="right"/>
            </w:pPr>
            <w:r>
              <w:rPr>
                <w:sz w:val="18"/>
              </w:rPr>
              <w:t>71,4</w:t>
            </w:r>
          </w:p>
        </w:tc>
      </w:tr>
    </w:tbl>
    <w:p w:rsidR="00BE2C99" w:rsidRDefault="00BE2C99">
      <w:pPr>
        <w:spacing w:after="0"/>
      </w:pPr>
    </w:p>
    <w:p w:rsidR="00BE2C99" w:rsidRDefault="005B7AC4">
      <w:pPr>
        <w:jc w:val="both"/>
      </w:pPr>
      <w:r>
        <w:t xml:space="preserve">Povećanje ostalih nespomenutih rashoda u 2024. godini rezultat je knjiženja naknade za slanje elektroničkih računa na konto 3299. U 2025. godini navedeni se trošak knjiži u okviru konta 3238 (Računalne usluge), što objašnjava razliku u rashodima između te </w:t>
      </w:r>
      <w:r>
        <w:t>dvije godine.</w:t>
      </w:r>
    </w:p>
    <w:p w:rsidR="00BE2C99" w:rsidRDefault="00BE2C99"/>
    <w:p w:rsidR="00BE2C99" w:rsidRDefault="005B7AC4">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5B7AC4">
            <w:pPr>
              <w:keepNext/>
              <w:keepLines/>
              <w:spacing w:after="0" w:line="240" w:lineRule="auto"/>
            </w:pPr>
            <w:r>
              <w:rPr>
                <w:sz w:val="18"/>
              </w:rPr>
              <w:t>34</w:t>
            </w:r>
          </w:p>
        </w:tc>
        <w:tc>
          <w:tcPr>
            <w:tcW w:w="3180" w:type="dxa"/>
            <w:tcMar>
              <w:top w:w="0" w:type="dxa"/>
              <w:bottom w:w="0" w:type="dxa"/>
            </w:tcMar>
            <w:vAlign w:val="center"/>
          </w:tcPr>
          <w:p w:rsidR="00BE2C99" w:rsidRDefault="005B7AC4">
            <w:pPr>
              <w:keepNext/>
              <w:keepLines/>
              <w:spacing w:after="0" w:line="240" w:lineRule="auto"/>
            </w:pPr>
            <w:r>
              <w:rPr>
                <w:sz w:val="18"/>
              </w:rPr>
              <w:t>Financijski rashodi (šifre 341+342+343)</w:t>
            </w:r>
          </w:p>
        </w:tc>
        <w:tc>
          <w:tcPr>
            <w:tcW w:w="700" w:type="dxa"/>
            <w:tcMar>
              <w:top w:w="0" w:type="dxa"/>
              <w:bottom w:w="0" w:type="dxa"/>
            </w:tcMar>
            <w:vAlign w:val="center"/>
          </w:tcPr>
          <w:p w:rsidR="00BE2C99" w:rsidRDefault="005B7AC4">
            <w:pPr>
              <w:keepNext/>
              <w:keepLines/>
              <w:spacing w:after="0" w:line="240" w:lineRule="auto"/>
            </w:pPr>
            <w:r>
              <w:rPr>
                <w:sz w:val="18"/>
              </w:rPr>
              <w:t>34</w:t>
            </w:r>
          </w:p>
        </w:tc>
        <w:tc>
          <w:tcPr>
            <w:tcW w:w="1860" w:type="dxa"/>
            <w:tcMar>
              <w:top w:w="0" w:type="dxa"/>
              <w:bottom w:w="0" w:type="dxa"/>
            </w:tcMar>
            <w:vAlign w:val="center"/>
          </w:tcPr>
          <w:p w:rsidR="00BE2C99" w:rsidRDefault="005B7AC4">
            <w:pPr>
              <w:keepNext/>
              <w:keepLines/>
              <w:spacing w:after="0" w:line="240" w:lineRule="auto"/>
              <w:jc w:val="right"/>
            </w:pPr>
            <w:r>
              <w:rPr>
                <w:sz w:val="18"/>
              </w:rPr>
              <w:t>3.100,57</w:t>
            </w:r>
          </w:p>
        </w:tc>
        <w:tc>
          <w:tcPr>
            <w:tcW w:w="1860" w:type="dxa"/>
            <w:tcMar>
              <w:top w:w="0" w:type="dxa"/>
              <w:bottom w:w="0" w:type="dxa"/>
            </w:tcMar>
            <w:vAlign w:val="center"/>
          </w:tcPr>
          <w:p w:rsidR="00BE2C99" w:rsidRDefault="005B7AC4">
            <w:pPr>
              <w:keepNext/>
              <w:keepLines/>
              <w:spacing w:after="0" w:line="240" w:lineRule="auto"/>
              <w:jc w:val="right"/>
            </w:pPr>
            <w:r>
              <w:rPr>
                <w:sz w:val="18"/>
              </w:rPr>
              <w:t>38.439,79</w:t>
            </w:r>
          </w:p>
        </w:tc>
        <w:tc>
          <w:tcPr>
            <w:tcW w:w="700" w:type="dxa"/>
            <w:tcMar>
              <w:top w:w="0" w:type="dxa"/>
              <w:bottom w:w="0" w:type="dxa"/>
            </w:tcMar>
            <w:vAlign w:val="center"/>
          </w:tcPr>
          <w:p w:rsidR="00BE2C99" w:rsidRDefault="005B7AC4">
            <w:pPr>
              <w:keepNext/>
              <w:keepLines/>
              <w:spacing w:after="0" w:line="240" w:lineRule="auto"/>
              <w:jc w:val="right"/>
            </w:pPr>
            <w:r>
              <w:rPr>
                <w:sz w:val="18"/>
              </w:rPr>
              <w:t>1239,8</w:t>
            </w:r>
          </w:p>
        </w:tc>
      </w:tr>
    </w:tbl>
    <w:p w:rsidR="00BE2C99" w:rsidRDefault="00BE2C99">
      <w:pPr>
        <w:spacing w:after="0"/>
      </w:pPr>
    </w:p>
    <w:p w:rsidR="00BE2C99" w:rsidRDefault="005B7AC4">
      <w:r>
        <w:t>Povećanje financijskih rashoda odnosi se na prijenos  viška prihoda iz prethodne godine u iznosu od 35.000 eura u proračun Međimurske županije,  a temeljem Odluke o raspodjeli rezultata.</w:t>
      </w:r>
    </w:p>
    <w:p w:rsidR="00BE2C99" w:rsidRDefault="00BE2C99"/>
    <w:p w:rsidR="00BE2C99" w:rsidRDefault="005B7AC4">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w:t>
            </w:r>
            <w:r>
              <w:rPr>
                <w:b/>
                <w:sz w:val="18"/>
              </w:rPr>
              <w:t>štajnom razdoblju prethodne godine</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5B7AC4">
            <w:pPr>
              <w:keepNext/>
              <w:keepLines/>
              <w:spacing w:after="0" w:line="240" w:lineRule="auto"/>
            </w:pPr>
            <w:r>
              <w:rPr>
                <w:sz w:val="18"/>
              </w:rPr>
              <w:t>3434</w:t>
            </w:r>
          </w:p>
        </w:tc>
        <w:tc>
          <w:tcPr>
            <w:tcW w:w="3180" w:type="dxa"/>
            <w:tcMar>
              <w:top w:w="0" w:type="dxa"/>
              <w:bottom w:w="0" w:type="dxa"/>
            </w:tcMar>
            <w:vAlign w:val="center"/>
          </w:tcPr>
          <w:p w:rsidR="00BE2C99" w:rsidRDefault="005B7AC4">
            <w:pPr>
              <w:keepNext/>
              <w:keepLines/>
              <w:spacing w:after="0" w:line="240" w:lineRule="auto"/>
            </w:pPr>
            <w:r>
              <w:rPr>
                <w:sz w:val="18"/>
              </w:rPr>
              <w:t>Ostali nespomenuti financijski rashodi</w:t>
            </w:r>
          </w:p>
        </w:tc>
        <w:tc>
          <w:tcPr>
            <w:tcW w:w="700" w:type="dxa"/>
            <w:tcMar>
              <w:top w:w="0" w:type="dxa"/>
              <w:bottom w:w="0" w:type="dxa"/>
            </w:tcMar>
            <w:vAlign w:val="center"/>
          </w:tcPr>
          <w:p w:rsidR="00BE2C99" w:rsidRDefault="005B7AC4">
            <w:pPr>
              <w:keepNext/>
              <w:keepLines/>
              <w:spacing w:after="0" w:line="240" w:lineRule="auto"/>
            </w:pPr>
            <w:r>
              <w:rPr>
                <w:sz w:val="18"/>
              </w:rPr>
              <w:t>3434</w:t>
            </w:r>
          </w:p>
        </w:tc>
        <w:tc>
          <w:tcPr>
            <w:tcW w:w="1860" w:type="dxa"/>
            <w:tcMar>
              <w:top w:w="0" w:type="dxa"/>
              <w:bottom w:w="0" w:type="dxa"/>
            </w:tcMar>
            <w:vAlign w:val="center"/>
          </w:tcPr>
          <w:p w:rsidR="00BE2C99" w:rsidRDefault="005B7AC4">
            <w:pPr>
              <w:keepNext/>
              <w:keepLines/>
              <w:spacing w:after="0" w:line="240" w:lineRule="auto"/>
              <w:jc w:val="right"/>
            </w:pPr>
            <w:r>
              <w:rPr>
                <w:sz w:val="18"/>
              </w:rPr>
              <w:t>0,00</w:t>
            </w:r>
          </w:p>
        </w:tc>
        <w:tc>
          <w:tcPr>
            <w:tcW w:w="1860" w:type="dxa"/>
            <w:tcMar>
              <w:top w:w="0" w:type="dxa"/>
              <w:bottom w:w="0" w:type="dxa"/>
            </w:tcMar>
            <w:vAlign w:val="center"/>
          </w:tcPr>
          <w:p w:rsidR="00BE2C99" w:rsidRDefault="005B7AC4">
            <w:pPr>
              <w:keepNext/>
              <w:keepLines/>
              <w:spacing w:after="0" w:line="240" w:lineRule="auto"/>
              <w:jc w:val="right"/>
            </w:pPr>
            <w:r>
              <w:rPr>
                <w:sz w:val="18"/>
              </w:rPr>
              <w:t>35.000,00</w:t>
            </w:r>
          </w:p>
        </w:tc>
        <w:tc>
          <w:tcPr>
            <w:tcW w:w="700" w:type="dxa"/>
            <w:tcMar>
              <w:top w:w="0" w:type="dxa"/>
              <w:bottom w:w="0" w:type="dxa"/>
            </w:tcMar>
            <w:vAlign w:val="center"/>
          </w:tcPr>
          <w:p w:rsidR="00BE2C99" w:rsidRDefault="005B7AC4">
            <w:pPr>
              <w:keepNext/>
              <w:keepLines/>
              <w:spacing w:after="0" w:line="240" w:lineRule="auto"/>
              <w:jc w:val="right"/>
            </w:pPr>
            <w:r>
              <w:rPr>
                <w:sz w:val="18"/>
              </w:rPr>
              <w:t>-</w:t>
            </w:r>
          </w:p>
        </w:tc>
      </w:tr>
    </w:tbl>
    <w:p w:rsidR="00BE2C99" w:rsidRDefault="00BE2C99">
      <w:pPr>
        <w:spacing w:after="0"/>
      </w:pPr>
    </w:p>
    <w:p w:rsidR="00BE2C99" w:rsidRDefault="005B7AC4">
      <w:r>
        <w:lastRenderedPageBreak/>
        <w:t>Ostali nespomenuti financijski rashodi odnose se na prijenos  viška prihoda iz prethodne godine u iznosu od 35.000 eura u proračun Međimurske županije,  a temeljem Odluke o raspodjeli rezultata.</w:t>
      </w:r>
    </w:p>
    <w:p w:rsidR="00BE2C99" w:rsidRDefault="00BE2C99"/>
    <w:p w:rsidR="00BE2C99" w:rsidRDefault="005B7AC4">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w:t>
            </w:r>
            <w:r>
              <w:rPr>
                <w:b/>
                <w:sz w:val="18"/>
              </w:rPr>
              <w:t xml:space="preserve"> u izvještajnom razdoblju prethodne godine</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BE2C99">
            <w:pPr>
              <w:keepNext/>
              <w:keepLines/>
              <w:spacing w:after="0" w:line="240" w:lineRule="auto"/>
            </w:pPr>
          </w:p>
        </w:tc>
        <w:tc>
          <w:tcPr>
            <w:tcW w:w="3180" w:type="dxa"/>
            <w:tcMar>
              <w:top w:w="0" w:type="dxa"/>
              <w:bottom w:w="0" w:type="dxa"/>
            </w:tcMar>
            <w:vAlign w:val="center"/>
          </w:tcPr>
          <w:p w:rsidR="00BE2C99" w:rsidRDefault="005B7AC4">
            <w:pPr>
              <w:keepNext/>
              <w:keepLines/>
              <w:spacing w:after="0" w:line="240" w:lineRule="auto"/>
            </w:pPr>
            <w:r>
              <w:rPr>
                <w:sz w:val="18"/>
              </w:rPr>
              <w:t>VIŠAK PRIHODA POSLOVANJA (šifre 6-Z005)</w:t>
            </w:r>
          </w:p>
        </w:tc>
        <w:tc>
          <w:tcPr>
            <w:tcW w:w="700" w:type="dxa"/>
            <w:tcMar>
              <w:top w:w="0" w:type="dxa"/>
              <w:bottom w:w="0" w:type="dxa"/>
            </w:tcMar>
            <w:vAlign w:val="center"/>
          </w:tcPr>
          <w:p w:rsidR="00BE2C99" w:rsidRDefault="005B7AC4">
            <w:pPr>
              <w:keepNext/>
              <w:keepLines/>
              <w:spacing w:after="0" w:line="240" w:lineRule="auto"/>
            </w:pPr>
            <w:r>
              <w:rPr>
                <w:sz w:val="18"/>
              </w:rPr>
              <w:t>X001</w:t>
            </w:r>
          </w:p>
        </w:tc>
        <w:tc>
          <w:tcPr>
            <w:tcW w:w="1860" w:type="dxa"/>
            <w:tcMar>
              <w:top w:w="0" w:type="dxa"/>
              <w:bottom w:w="0" w:type="dxa"/>
            </w:tcMar>
            <w:vAlign w:val="center"/>
          </w:tcPr>
          <w:p w:rsidR="00BE2C99" w:rsidRDefault="005B7AC4">
            <w:pPr>
              <w:keepNext/>
              <w:keepLines/>
              <w:spacing w:after="0" w:line="240" w:lineRule="auto"/>
              <w:jc w:val="right"/>
            </w:pPr>
            <w:r>
              <w:rPr>
                <w:sz w:val="18"/>
              </w:rPr>
              <w:t>55.953,65</w:t>
            </w:r>
          </w:p>
        </w:tc>
        <w:tc>
          <w:tcPr>
            <w:tcW w:w="1860" w:type="dxa"/>
            <w:tcMar>
              <w:top w:w="0" w:type="dxa"/>
              <w:bottom w:w="0" w:type="dxa"/>
            </w:tcMar>
            <w:vAlign w:val="center"/>
          </w:tcPr>
          <w:p w:rsidR="00BE2C99" w:rsidRDefault="005B7AC4">
            <w:pPr>
              <w:keepNext/>
              <w:keepLines/>
              <w:spacing w:after="0" w:line="240" w:lineRule="auto"/>
              <w:jc w:val="right"/>
            </w:pPr>
            <w:r>
              <w:rPr>
                <w:sz w:val="18"/>
              </w:rPr>
              <w:t>54.293,85</w:t>
            </w:r>
          </w:p>
        </w:tc>
        <w:tc>
          <w:tcPr>
            <w:tcW w:w="700" w:type="dxa"/>
            <w:tcMar>
              <w:top w:w="0" w:type="dxa"/>
              <w:bottom w:w="0" w:type="dxa"/>
            </w:tcMar>
            <w:vAlign w:val="center"/>
          </w:tcPr>
          <w:p w:rsidR="00BE2C99" w:rsidRDefault="005B7AC4">
            <w:pPr>
              <w:keepNext/>
              <w:keepLines/>
              <w:spacing w:after="0" w:line="240" w:lineRule="auto"/>
              <w:jc w:val="right"/>
            </w:pPr>
            <w:r>
              <w:rPr>
                <w:sz w:val="18"/>
              </w:rPr>
              <w:t>97,0</w:t>
            </w:r>
          </w:p>
        </w:tc>
      </w:tr>
    </w:tbl>
    <w:p w:rsidR="00BE2C99" w:rsidRDefault="00BE2C99">
      <w:pPr>
        <w:spacing w:after="0"/>
      </w:pPr>
    </w:p>
    <w:p w:rsidR="00BE2C99" w:rsidRDefault="005B7AC4">
      <w:pPr>
        <w:jc w:val="both"/>
      </w:pPr>
      <w:r>
        <w:t xml:space="preserve">U 2025. godini ostvaren je tekući višak poslovanja (6 je veća od 3) te se njime pokriva tekući  manjak od </w:t>
      </w:r>
      <w:proofErr w:type="spellStart"/>
      <w:r>
        <w:t>nefinancijeske</w:t>
      </w:r>
      <w:proofErr w:type="spellEnd"/>
      <w:r>
        <w:t xml:space="preserve"> imovine (7 je manja od 4).</w:t>
      </w:r>
    </w:p>
    <w:p w:rsidR="00BE2C99" w:rsidRDefault="00BE2C99"/>
    <w:p w:rsidR="00BE2C99" w:rsidRDefault="005B7AC4">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w:t>
            </w:r>
            <w:r>
              <w:rPr>
                <w:b/>
                <w:sz w:val="18"/>
              </w:rPr>
              <w:t>areno u izvještajnom razdoblju tekuće godine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5B7AC4">
            <w:pPr>
              <w:keepNext/>
              <w:keepLines/>
              <w:spacing w:after="0" w:line="240" w:lineRule="auto"/>
            </w:pPr>
            <w:r>
              <w:rPr>
                <w:sz w:val="18"/>
              </w:rPr>
              <w:t>92211</w:t>
            </w:r>
          </w:p>
        </w:tc>
        <w:tc>
          <w:tcPr>
            <w:tcW w:w="3180" w:type="dxa"/>
            <w:tcMar>
              <w:top w:w="0" w:type="dxa"/>
              <w:bottom w:w="0" w:type="dxa"/>
            </w:tcMar>
            <w:vAlign w:val="center"/>
          </w:tcPr>
          <w:p w:rsidR="00BE2C99" w:rsidRDefault="005B7AC4">
            <w:pPr>
              <w:keepNext/>
              <w:keepLines/>
              <w:spacing w:after="0" w:line="240" w:lineRule="auto"/>
            </w:pPr>
            <w:r>
              <w:rPr>
                <w:sz w:val="18"/>
              </w:rPr>
              <w:t>Višak prihoda poslovanja - preneseni</w:t>
            </w:r>
          </w:p>
        </w:tc>
        <w:tc>
          <w:tcPr>
            <w:tcW w:w="700" w:type="dxa"/>
            <w:tcMar>
              <w:top w:w="0" w:type="dxa"/>
              <w:bottom w:w="0" w:type="dxa"/>
            </w:tcMar>
            <w:vAlign w:val="center"/>
          </w:tcPr>
          <w:p w:rsidR="00BE2C99" w:rsidRDefault="005B7AC4">
            <w:pPr>
              <w:keepNext/>
              <w:keepLines/>
              <w:spacing w:after="0" w:line="240" w:lineRule="auto"/>
            </w:pPr>
            <w:r>
              <w:rPr>
                <w:sz w:val="18"/>
              </w:rPr>
              <w:t>92211</w:t>
            </w:r>
          </w:p>
        </w:tc>
        <w:tc>
          <w:tcPr>
            <w:tcW w:w="1860" w:type="dxa"/>
            <w:tcMar>
              <w:top w:w="0" w:type="dxa"/>
              <w:bottom w:w="0" w:type="dxa"/>
            </w:tcMar>
            <w:vAlign w:val="center"/>
          </w:tcPr>
          <w:p w:rsidR="00BE2C99" w:rsidRDefault="005B7AC4">
            <w:pPr>
              <w:keepNext/>
              <w:keepLines/>
              <w:spacing w:after="0" w:line="240" w:lineRule="auto"/>
              <w:jc w:val="right"/>
            </w:pPr>
            <w:r>
              <w:rPr>
                <w:sz w:val="18"/>
              </w:rPr>
              <w:t>641.349,98</w:t>
            </w:r>
          </w:p>
        </w:tc>
        <w:tc>
          <w:tcPr>
            <w:tcW w:w="1860" w:type="dxa"/>
            <w:tcMar>
              <w:top w:w="0" w:type="dxa"/>
              <w:bottom w:w="0" w:type="dxa"/>
            </w:tcMar>
            <w:vAlign w:val="center"/>
          </w:tcPr>
          <w:p w:rsidR="00BE2C99" w:rsidRDefault="005B7AC4">
            <w:pPr>
              <w:keepNext/>
              <w:keepLines/>
              <w:spacing w:after="0" w:line="240" w:lineRule="auto"/>
              <w:jc w:val="right"/>
            </w:pPr>
            <w:r>
              <w:rPr>
                <w:sz w:val="18"/>
              </w:rPr>
              <w:t>389.227,11</w:t>
            </w:r>
          </w:p>
        </w:tc>
        <w:tc>
          <w:tcPr>
            <w:tcW w:w="700" w:type="dxa"/>
            <w:tcMar>
              <w:top w:w="0" w:type="dxa"/>
              <w:bottom w:w="0" w:type="dxa"/>
            </w:tcMar>
            <w:vAlign w:val="center"/>
          </w:tcPr>
          <w:p w:rsidR="00BE2C99" w:rsidRDefault="005B7AC4">
            <w:pPr>
              <w:keepNext/>
              <w:keepLines/>
              <w:spacing w:after="0" w:line="240" w:lineRule="auto"/>
              <w:jc w:val="right"/>
            </w:pPr>
            <w:r>
              <w:rPr>
                <w:sz w:val="18"/>
              </w:rPr>
              <w:t>60,7</w:t>
            </w:r>
          </w:p>
        </w:tc>
      </w:tr>
    </w:tbl>
    <w:p w:rsidR="00BE2C99" w:rsidRDefault="00BE2C99">
      <w:pPr>
        <w:spacing w:after="0"/>
      </w:pPr>
    </w:p>
    <w:p w:rsidR="00BE2C99" w:rsidRDefault="005B7AC4">
      <w:pPr>
        <w:jc w:val="both"/>
      </w:pPr>
      <w:r>
        <w:t>Preneseni višak prihoda iz prethodne godine iznosio je 389.487,62 EUR. Tijekom 2025. godine taj je iznos umanjen za 260,51 EUR te iznosi 389.227,11 EUR. Do umanjenja rezultata došlo je uslijed povrata neiskorištenog dijela sredstava namijenjenih za financi</w:t>
      </w:r>
      <w:r>
        <w:t>ranje plaća pripravnika Hrvatskom zavodu za zapošljavanje (HZZ). Budući da je prihod za financiranje plaća pripravnika u cijelosti priznat u 2024. godini, povrat neiskorištenih sredstava u 2025. godini tretira se kao korekcija rezultata prethodne godine, a</w:t>
      </w:r>
      <w:r>
        <w:t xml:space="preserve"> ne kao redovni rashod tekuće godine. Ovim je postupkom osigurano točno iskazivanje raspoloživog viška prihoda za daljnje poslovanje.</w:t>
      </w:r>
      <w:r>
        <w:br/>
        <w:t> </w:t>
      </w:r>
      <w:r>
        <w:br/>
        <w:t> </w:t>
      </w:r>
    </w:p>
    <w:p w:rsidR="00BE2C99" w:rsidRDefault="005B7AC4">
      <w:pPr>
        <w:jc w:val="both"/>
      </w:pPr>
      <w:r>
        <w:t> </w:t>
      </w:r>
    </w:p>
    <w:p w:rsidR="00BE2C99" w:rsidRDefault="005B7AC4">
      <w:pPr>
        <w:jc w:val="both"/>
      </w:pPr>
      <w:r>
        <w:t> </w:t>
      </w:r>
    </w:p>
    <w:p w:rsidR="00BE2C99" w:rsidRDefault="005B7AC4">
      <w:pPr>
        <w:jc w:val="both"/>
      </w:pPr>
      <w:r>
        <w:t> </w:t>
      </w:r>
    </w:p>
    <w:p w:rsidR="00BE2C99" w:rsidRDefault="00BE2C99"/>
    <w:p w:rsidR="00BE2C99" w:rsidRDefault="005B7AC4">
      <w:pPr>
        <w:keepNext/>
        <w:spacing w:line="240" w:lineRule="auto"/>
        <w:jc w:val="center"/>
      </w:pPr>
      <w:r>
        <w:rPr>
          <w:sz w:val="28"/>
        </w:rPr>
        <w:lastRenderedPageBreak/>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w:t>
            </w:r>
            <w:r>
              <w:rPr>
                <w:b/>
                <w:sz w:val="18"/>
              </w:rPr>
              <w:t>o u izvještajnom razdoblju tekuće godine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5B7AC4">
            <w:pPr>
              <w:keepNext/>
              <w:keepLines/>
              <w:spacing w:after="0" w:line="240" w:lineRule="auto"/>
            </w:pPr>
            <w:r>
              <w:rPr>
                <w:sz w:val="18"/>
              </w:rPr>
              <w:t>7</w:t>
            </w:r>
          </w:p>
        </w:tc>
        <w:tc>
          <w:tcPr>
            <w:tcW w:w="3180" w:type="dxa"/>
            <w:tcMar>
              <w:top w:w="0" w:type="dxa"/>
              <w:bottom w:w="0" w:type="dxa"/>
            </w:tcMar>
            <w:vAlign w:val="center"/>
          </w:tcPr>
          <w:p w:rsidR="00BE2C99" w:rsidRDefault="005B7AC4">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BE2C99" w:rsidRDefault="005B7AC4">
            <w:pPr>
              <w:keepNext/>
              <w:keepLines/>
              <w:spacing w:after="0" w:line="240" w:lineRule="auto"/>
            </w:pPr>
            <w:r>
              <w:rPr>
                <w:sz w:val="18"/>
              </w:rPr>
              <w:t>7</w:t>
            </w:r>
          </w:p>
        </w:tc>
        <w:tc>
          <w:tcPr>
            <w:tcW w:w="1860" w:type="dxa"/>
            <w:tcMar>
              <w:top w:w="0" w:type="dxa"/>
              <w:bottom w:w="0" w:type="dxa"/>
            </w:tcMar>
            <w:vAlign w:val="center"/>
          </w:tcPr>
          <w:p w:rsidR="00BE2C99" w:rsidRDefault="005B7AC4">
            <w:pPr>
              <w:keepNext/>
              <w:keepLines/>
              <w:spacing w:after="0" w:line="240" w:lineRule="auto"/>
              <w:jc w:val="right"/>
            </w:pPr>
            <w:r>
              <w:rPr>
                <w:sz w:val="18"/>
              </w:rPr>
              <w:t>72,28</w:t>
            </w:r>
          </w:p>
        </w:tc>
        <w:tc>
          <w:tcPr>
            <w:tcW w:w="1860" w:type="dxa"/>
            <w:tcMar>
              <w:top w:w="0" w:type="dxa"/>
              <w:bottom w:w="0" w:type="dxa"/>
            </w:tcMar>
            <w:vAlign w:val="center"/>
          </w:tcPr>
          <w:p w:rsidR="00BE2C99" w:rsidRDefault="005B7AC4">
            <w:pPr>
              <w:keepNext/>
              <w:keepLines/>
              <w:spacing w:after="0" w:line="240" w:lineRule="auto"/>
              <w:jc w:val="right"/>
            </w:pPr>
            <w:r>
              <w:rPr>
                <w:sz w:val="18"/>
              </w:rPr>
              <w:t>303,09</w:t>
            </w:r>
          </w:p>
        </w:tc>
        <w:tc>
          <w:tcPr>
            <w:tcW w:w="700" w:type="dxa"/>
            <w:tcMar>
              <w:top w:w="0" w:type="dxa"/>
              <w:bottom w:w="0" w:type="dxa"/>
            </w:tcMar>
            <w:vAlign w:val="center"/>
          </w:tcPr>
          <w:p w:rsidR="00BE2C99" w:rsidRDefault="005B7AC4">
            <w:pPr>
              <w:keepNext/>
              <w:keepLines/>
              <w:spacing w:after="0" w:line="240" w:lineRule="auto"/>
              <w:jc w:val="right"/>
            </w:pPr>
            <w:r>
              <w:rPr>
                <w:sz w:val="18"/>
              </w:rPr>
              <w:t>419,3</w:t>
            </w:r>
          </w:p>
        </w:tc>
      </w:tr>
    </w:tbl>
    <w:p w:rsidR="00BE2C99" w:rsidRDefault="00BE2C99">
      <w:pPr>
        <w:spacing w:after="0"/>
      </w:pPr>
    </w:p>
    <w:p w:rsidR="00BE2C99" w:rsidRDefault="005B7AC4">
      <w:pPr>
        <w:jc w:val="both"/>
      </w:pPr>
      <w:r>
        <w:t>U tijeku 2025. godine proveden je postupak licitacije kojim je prodana dotrajala imovina Zavoda. Prodaja je obuhvatila uredsku, medicinsku i laboratorijsku opremu te opremu za ostale namjene.</w:t>
      </w:r>
      <w:r>
        <w:br/>
        <w:t> </w:t>
      </w:r>
    </w:p>
    <w:p w:rsidR="00BE2C99" w:rsidRDefault="00BE2C99"/>
    <w:p w:rsidR="00BE2C99" w:rsidRDefault="005B7AC4">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Ostvareno </w:t>
            </w:r>
            <w:r>
              <w:rPr>
                <w:b/>
                <w:sz w:val="18"/>
              </w:rPr>
              <w:t>u izvještajnom razdoblju prethodne godine</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5B7AC4">
            <w:pPr>
              <w:keepNext/>
              <w:keepLines/>
              <w:spacing w:after="0" w:line="240" w:lineRule="auto"/>
            </w:pPr>
            <w:r>
              <w:rPr>
                <w:sz w:val="18"/>
              </w:rPr>
              <w:t>4</w:t>
            </w:r>
          </w:p>
        </w:tc>
        <w:tc>
          <w:tcPr>
            <w:tcW w:w="3180" w:type="dxa"/>
            <w:tcMar>
              <w:top w:w="0" w:type="dxa"/>
              <w:bottom w:w="0" w:type="dxa"/>
            </w:tcMar>
            <w:vAlign w:val="center"/>
          </w:tcPr>
          <w:p w:rsidR="00BE2C99" w:rsidRDefault="005B7AC4">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BE2C99" w:rsidRDefault="005B7AC4">
            <w:pPr>
              <w:keepNext/>
              <w:keepLines/>
              <w:spacing w:after="0" w:line="240" w:lineRule="auto"/>
            </w:pPr>
            <w:r>
              <w:rPr>
                <w:sz w:val="18"/>
              </w:rPr>
              <w:t>4</w:t>
            </w:r>
          </w:p>
        </w:tc>
        <w:tc>
          <w:tcPr>
            <w:tcW w:w="1860" w:type="dxa"/>
            <w:tcMar>
              <w:top w:w="0" w:type="dxa"/>
              <w:bottom w:w="0" w:type="dxa"/>
            </w:tcMar>
            <w:vAlign w:val="center"/>
          </w:tcPr>
          <w:p w:rsidR="00BE2C99" w:rsidRDefault="005B7AC4">
            <w:pPr>
              <w:keepNext/>
              <w:keepLines/>
              <w:spacing w:after="0" w:line="240" w:lineRule="auto"/>
              <w:jc w:val="right"/>
            </w:pPr>
            <w:r>
              <w:rPr>
                <w:sz w:val="18"/>
              </w:rPr>
              <w:t>307.888,29</w:t>
            </w:r>
          </w:p>
        </w:tc>
        <w:tc>
          <w:tcPr>
            <w:tcW w:w="1860" w:type="dxa"/>
            <w:tcMar>
              <w:top w:w="0" w:type="dxa"/>
              <w:bottom w:w="0" w:type="dxa"/>
            </w:tcMar>
            <w:vAlign w:val="center"/>
          </w:tcPr>
          <w:p w:rsidR="00BE2C99" w:rsidRDefault="005B7AC4">
            <w:pPr>
              <w:keepNext/>
              <w:keepLines/>
              <w:spacing w:after="0" w:line="240" w:lineRule="auto"/>
              <w:jc w:val="right"/>
            </w:pPr>
            <w:r>
              <w:rPr>
                <w:sz w:val="18"/>
              </w:rPr>
              <w:t>138.601,71</w:t>
            </w:r>
          </w:p>
        </w:tc>
        <w:tc>
          <w:tcPr>
            <w:tcW w:w="700" w:type="dxa"/>
            <w:tcMar>
              <w:top w:w="0" w:type="dxa"/>
              <w:bottom w:w="0" w:type="dxa"/>
            </w:tcMar>
            <w:vAlign w:val="center"/>
          </w:tcPr>
          <w:p w:rsidR="00BE2C99" w:rsidRDefault="005B7AC4">
            <w:pPr>
              <w:keepNext/>
              <w:keepLines/>
              <w:spacing w:after="0" w:line="240" w:lineRule="auto"/>
              <w:jc w:val="right"/>
            </w:pPr>
            <w:r>
              <w:rPr>
                <w:sz w:val="18"/>
              </w:rPr>
              <w:t>45,0</w:t>
            </w:r>
          </w:p>
        </w:tc>
      </w:tr>
    </w:tbl>
    <w:p w:rsidR="00BE2C99" w:rsidRDefault="00BE2C99">
      <w:pPr>
        <w:spacing w:after="0"/>
      </w:pPr>
    </w:p>
    <w:p w:rsidR="00BE2C99" w:rsidRDefault="005B7AC4">
      <w:pPr>
        <w:jc w:val="both"/>
      </w:pPr>
      <w:r>
        <w:t>Indeks pokazuje različitost ulaganja te je uvjetovan trenutkom nabave, potrebama ustanove i izvorima financiranja. </w:t>
      </w:r>
    </w:p>
    <w:p w:rsidR="00BE2C99" w:rsidRDefault="005B7AC4">
      <w:pPr>
        <w:jc w:val="both"/>
      </w:pPr>
      <w:r>
        <w:t>Tijekom 2024. godine nabavljene su licence (</w:t>
      </w:r>
      <w:proofErr w:type="spellStart"/>
      <w:r>
        <w:t>kto</w:t>
      </w:r>
      <w:proofErr w:type="spellEnd"/>
      <w:r>
        <w:t xml:space="preserve"> 4123) u iznosu 1.047,88 EUR, računalna i ostala uredska oprema (</w:t>
      </w:r>
      <w:proofErr w:type="spellStart"/>
      <w:r>
        <w:t>kto</w:t>
      </w:r>
      <w:proofErr w:type="spellEnd"/>
      <w:r>
        <w:t xml:space="preserve"> 4221)  u iznosu od 12.99</w:t>
      </w:r>
      <w:r>
        <w:t xml:space="preserve">4,20 EUR. Najveći dio troška odnosi se na medicinsku opremu (4224) u iznosu od 172.876,74 EUR. Nabavljen je uređaj </w:t>
      </w:r>
      <w:proofErr w:type="spellStart"/>
      <w:r>
        <w:t>Maldi</w:t>
      </w:r>
      <w:proofErr w:type="spellEnd"/>
      <w:r>
        <w:t>-</w:t>
      </w:r>
      <w:proofErr w:type="spellStart"/>
      <w:r>
        <w:t>tof</w:t>
      </w:r>
      <w:proofErr w:type="spellEnd"/>
      <w:r>
        <w:t xml:space="preserve">, sterilizatori za </w:t>
      </w:r>
      <w:proofErr w:type="spellStart"/>
      <w:r>
        <w:t>eze</w:t>
      </w:r>
      <w:proofErr w:type="spellEnd"/>
      <w:r>
        <w:t xml:space="preserve">, </w:t>
      </w:r>
      <w:proofErr w:type="spellStart"/>
      <w:r>
        <w:t>mješalica</w:t>
      </w:r>
      <w:proofErr w:type="spellEnd"/>
      <w:r>
        <w:t xml:space="preserve"> za epruvete, </w:t>
      </w:r>
      <w:proofErr w:type="spellStart"/>
      <w:r>
        <w:t>skrining</w:t>
      </w:r>
      <w:proofErr w:type="spellEnd"/>
      <w:r>
        <w:t xml:space="preserve"> aparat za UZV denzitometriju, električna </w:t>
      </w:r>
      <w:proofErr w:type="spellStart"/>
      <w:r>
        <w:t>mješalica</w:t>
      </w:r>
      <w:proofErr w:type="spellEnd"/>
      <w:r>
        <w:t>, laboratorijski hladnjak,</w:t>
      </w:r>
      <w:r>
        <w:t xml:space="preserve"> audiometar, medicinski hladnjak, staklena medicinska kolica, </w:t>
      </w:r>
      <w:proofErr w:type="spellStart"/>
      <w:r>
        <w:t>genexpert</w:t>
      </w:r>
      <w:proofErr w:type="spellEnd"/>
      <w:r>
        <w:t xml:space="preserve"> modul te sustav za nadzor temperature. Također, nabavljena je oprema za ostale namjene (4227) u iznosu od 7.747,32 EUR a radi se o modelu debelog crijeva, modelu </w:t>
      </w:r>
      <w:proofErr w:type="spellStart"/>
      <w:r>
        <w:t>ateroskleroze</w:t>
      </w:r>
      <w:proofErr w:type="spellEnd"/>
      <w:r>
        <w:t>, te mode</w:t>
      </w:r>
      <w:r>
        <w:t>lu torza. U 2024. godini nabavljen je električni automobil (</w:t>
      </w:r>
      <w:proofErr w:type="spellStart"/>
      <w:r>
        <w:t>kto</w:t>
      </w:r>
      <w:proofErr w:type="spellEnd"/>
      <w:r>
        <w:t xml:space="preserve"> 4231) u iznosu od 32.899,00 EUR. Također,trošak ulaganja u računalne programe (</w:t>
      </w:r>
      <w:proofErr w:type="spellStart"/>
      <w:r>
        <w:t>kto</w:t>
      </w:r>
      <w:proofErr w:type="spellEnd"/>
      <w:r>
        <w:t xml:space="preserve"> 4262) u iznosu od 4.177,50 EUR odnosi se na prebacivanje laboratorijskog informacijskog sustava  na Centar di</w:t>
      </w:r>
      <w:r>
        <w:t>jeljenih usluga (državni oblak). Dodatna ulaganja na građevinskom objektu (</w:t>
      </w:r>
      <w:proofErr w:type="spellStart"/>
      <w:r>
        <w:t>kto</w:t>
      </w:r>
      <w:proofErr w:type="spellEnd"/>
      <w:r>
        <w:t xml:space="preserve"> 451) u iznosu 76.145,65 EUR odnosi se na ugradnju </w:t>
      </w:r>
      <w:proofErr w:type="spellStart"/>
      <w:r>
        <w:t>markizoleta</w:t>
      </w:r>
      <w:proofErr w:type="spellEnd"/>
      <w:r>
        <w:t xml:space="preserve">, ugradnju punionice za električna vozila, ugradnju </w:t>
      </w:r>
      <w:proofErr w:type="spellStart"/>
      <w:r>
        <w:t>fotonaponskih</w:t>
      </w:r>
      <w:proofErr w:type="spellEnd"/>
      <w:r>
        <w:t xml:space="preserve"> ćelija te zamjenu dotrajalih cijevi klimatizacijsk</w:t>
      </w:r>
      <w:r>
        <w:t>og sustava na zgradi Zavoda.</w:t>
      </w:r>
    </w:p>
    <w:p w:rsidR="00BE2C99" w:rsidRDefault="005B7AC4">
      <w:pPr>
        <w:jc w:val="both"/>
      </w:pPr>
      <w:r>
        <w:t>Tijekom 2025. godine nabavljene su licence u vrijednosti od 825,00 EUR, računalna oprema (</w:t>
      </w:r>
      <w:proofErr w:type="spellStart"/>
      <w:r>
        <w:t>kto</w:t>
      </w:r>
      <w:proofErr w:type="spellEnd"/>
      <w:r>
        <w:t xml:space="preserve"> 4221) u iznosu od 9.785,75 EUR te uredski namještaj (</w:t>
      </w:r>
      <w:proofErr w:type="spellStart"/>
      <w:r>
        <w:t>kto</w:t>
      </w:r>
      <w:proofErr w:type="spellEnd"/>
      <w:r>
        <w:t xml:space="preserve"> 4221) u iznosu od 1.779,14 EUR. Najveći dio rashoda odnosi se na medicinsku </w:t>
      </w:r>
      <w:r>
        <w:t>opremu (</w:t>
      </w:r>
      <w:proofErr w:type="spellStart"/>
      <w:r>
        <w:t>kto</w:t>
      </w:r>
      <w:proofErr w:type="spellEnd"/>
      <w:r>
        <w:t xml:space="preserve"> 4224) u ukupnom iznosu od 104.945,77 EUR. Nabavljeni su uređaj za molekularnu dijagnostiku pozitivnih </w:t>
      </w:r>
      <w:proofErr w:type="spellStart"/>
      <w:r>
        <w:t>hemokultura</w:t>
      </w:r>
      <w:proofErr w:type="spellEnd"/>
      <w:r>
        <w:t xml:space="preserve">, automatizirani sustav za brzo otkrivanje </w:t>
      </w:r>
      <w:proofErr w:type="spellStart"/>
      <w:r>
        <w:t>mikobakterija</w:t>
      </w:r>
      <w:proofErr w:type="spellEnd"/>
      <w:r>
        <w:t xml:space="preserve"> u tekućim kulturama, automatizirani sustav za dokazivanje </w:t>
      </w:r>
      <w:proofErr w:type="spellStart"/>
      <w:r>
        <w:t>bakteriurije</w:t>
      </w:r>
      <w:proofErr w:type="spellEnd"/>
      <w:r>
        <w:t>, hl</w:t>
      </w:r>
      <w:r>
        <w:t xml:space="preserve">adnjak, alkotest, aparat za mjerenje CO2 u izdahnutom zraku te </w:t>
      </w:r>
      <w:proofErr w:type="spellStart"/>
      <w:r>
        <w:t>incinerator</w:t>
      </w:r>
      <w:proofErr w:type="spellEnd"/>
      <w:r>
        <w:t xml:space="preserve">. Navedena oprema financirana je sredstvima decentraliziranih funkcija. </w:t>
      </w:r>
      <w:r>
        <w:lastRenderedPageBreak/>
        <w:t>Dugotrajnu imovinu čini i umjetnička slika, primljena kao dar povodom 30. obljetnice rada Zavoda. Dodatna ulag</w:t>
      </w:r>
      <w:r>
        <w:t>anja na građevinskim objektima (</w:t>
      </w:r>
      <w:proofErr w:type="spellStart"/>
      <w:r>
        <w:t>kto</w:t>
      </w:r>
      <w:proofErr w:type="spellEnd"/>
      <w:r>
        <w:t xml:space="preserve"> 451) iznose 21.133,05 EUR, a obuhvaćaju elektroinstalacijske radove, sanaciju podova, ugradnju </w:t>
      </w:r>
      <w:proofErr w:type="spellStart"/>
      <w:r>
        <w:t>fotonaponskih</w:t>
      </w:r>
      <w:proofErr w:type="spellEnd"/>
      <w:r>
        <w:t xml:space="preserve"> ćelija te tapeciranje vrata u Djelatnosti za zaštitu mentalnog zdravlja.</w:t>
      </w:r>
    </w:p>
    <w:p w:rsidR="00BE2C99" w:rsidRDefault="005B7AC4">
      <w:pPr>
        <w:jc w:val="both"/>
      </w:pPr>
      <w:r>
        <w:t> </w:t>
      </w:r>
    </w:p>
    <w:p w:rsidR="00BE2C99" w:rsidRDefault="00BE2C99"/>
    <w:p w:rsidR="00BE2C99" w:rsidRDefault="005B7AC4">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w:t>
            </w:r>
            <w:r>
              <w:rPr>
                <w:b/>
                <w:sz w:val="18"/>
              </w:rPr>
              <w:t>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BE2C99">
            <w:pPr>
              <w:keepNext/>
              <w:keepLines/>
              <w:spacing w:after="0" w:line="240" w:lineRule="auto"/>
            </w:pPr>
          </w:p>
        </w:tc>
        <w:tc>
          <w:tcPr>
            <w:tcW w:w="3180" w:type="dxa"/>
            <w:tcMar>
              <w:top w:w="0" w:type="dxa"/>
              <w:bottom w:w="0" w:type="dxa"/>
            </w:tcMar>
            <w:vAlign w:val="center"/>
          </w:tcPr>
          <w:p w:rsidR="00BE2C99" w:rsidRDefault="005B7AC4">
            <w:pPr>
              <w:keepNext/>
              <w:keepLines/>
              <w:spacing w:after="0" w:line="240" w:lineRule="auto"/>
            </w:pPr>
            <w:r>
              <w:rPr>
                <w:sz w:val="18"/>
              </w:rPr>
              <w:t>MANJAK PRIHODA OD NEFINANCIJSKE IMOVINE (šifre 4-7)</w:t>
            </w:r>
          </w:p>
        </w:tc>
        <w:tc>
          <w:tcPr>
            <w:tcW w:w="700" w:type="dxa"/>
            <w:tcMar>
              <w:top w:w="0" w:type="dxa"/>
              <w:bottom w:w="0" w:type="dxa"/>
            </w:tcMar>
            <w:vAlign w:val="center"/>
          </w:tcPr>
          <w:p w:rsidR="00BE2C99" w:rsidRDefault="005B7AC4">
            <w:pPr>
              <w:keepNext/>
              <w:keepLines/>
              <w:spacing w:after="0" w:line="240" w:lineRule="auto"/>
            </w:pPr>
            <w:r>
              <w:rPr>
                <w:sz w:val="18"/>
              </w:rPr>
              <w:t>Y002</w:t>
            </w:r>
          </w:p>
        </w:tc>
        <w:tc>
          <w:tcPr>
            <w:tcW w:w="1860" w:type="dxa"/>
            <w:tcMar>
              <w:top w:w="0" w:type="dxa"/>
              <w:bottom w:w="0" w:type="dxa"/>
            </w:tcMar>
            <w:vAlign w:val="center"/>
          </w:tcPr>
          <w:p w:rsidR="00BE2C99" w:rsidRDefault="005B7AC4">
            <w:pPr>
              <w:keepNext/>
              <w:keepLines/>
              <w:spacing w:after="0" w:line="240" w:lineRule="auto"/>
              <w:jc w:val="right"/>
            </w:pPr>
            <w:r>
              <w:rPr>
                <w:sz w:val="18"/>
              </w:rPr>
              <w:t>307.816,01</w:t>
            </w:r>
          </w:p>
        </w:tc>
        <w:tc>
          <w:tcPr>
            <w:tcW w:w="1860" w:type="dxa"/>
            <w:tcMar>
              <w:top w:w="0" w:type="dxa"/>
              <w:bottom w:w="0" w:type="dxa"/>
            </w:tcMar>
            <w:vAlign w:val="center"/>
          </w:tcPr>
          <w:p w:rsidR="00BE2C99" w:rsidRDefault="005B7AC4">
            <w:pPr>
              <w:keepNext/>
              <w:keepLines/>
              <w:spacing w:after="0" w:line="240" w:lineRule="auto"/>
              <w:jc w:val="right"/>
            </w:pPr>
            <w:r>
              <w:rPr>
                <w:sz w:val="18"/>
              </w:rPr>
              <w:t>138.298,62</w:t>
            </w:r>
          </w:p>
        </w:tc>
        <w:tc>
          <w:tcPr>
            <w:tcW w:w="700" w:type="dxa"/>
            <w:tcMar>
              <w:top w:w="0" w:type="dxa"/>
              <w:bottom w:w="0" w:type="dxa"/>
            </w:tcMar>
            <w:vAlign w:val="center"/>
          </w:tcPr>
          <w:p w:rsidR="00BE2C99" w:rsidRDefault="005B7AC4">
            <w:pPr>
              <w:keepNext/>
              <w:keepLines/>
              <w:spacing w:after="0" w:line="240" w:lineRule="auto"/>
              <w:jc w:val="right"/>
            </w:pPr>
            <w:r>
              <w:rPr>
                <w:sz w:val="18"/>
              </w:rPr>
              <w:t>44,9</w:t>
            </w:r>
          </w:p>
        </w:tc>
      </w:tr>
    </w:tbl>
    <w:p w:rsidR="00BE2C99" w:rsidRDefault="00BE2C99">
      <w:pPr>
        <w:spacing w:after="0"/>
      </w:pPr>
    </w:p>
    <w:p w:rsidR="00BE2C99" w:rsidRDefault="005B7AC4">
      <w:r>
        <w:t>U 2025. ostvaren je tekući manjak od transakcija na nefinancijskoj imovini (7 je manja od 4) jer se nabavljena nefinancijska imovina financira iz viška prihoda tekućeg poslovanja kao i prenesenog viška prethodne godine.</w:t>
      </w:r>
    </w:p>
    <w:p w:rsidR="00BE2C99" w:rsidRDefault="00BE2C99"/>
    <w:p w:rsidR="00BE2C99" w:rsidRDefault="005B7AC4">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w:t>
            </w:r>
            <w:r>
              <w:rPr>
                <w:b/>
                <w:sz w:val="18"/>
              </w:rPr>
              <w:t>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BE2C99">
            <w:pPr>
              <w:keepNext/>
              <w:keepLines/>
              <w:spacing w:after="0" w:line="240" w:lineRule="auto"/>
            </w:pPr>
          </w:p>
        </w:tc>
        <w:tc>
          <w:tcPr>
            <w:tcW w:w="3180" w:type="dxa"/>
            <w:tcMar>
              <w:top w:w="0" w:type="dxa"/>
              <w:bottom w:w="0" w:type="dxa"/>
            </w:tcMar>
            <w:vAlign w:val="center"/>
          </w:tcPr>
          <w:p w:rsidR="00BE2C99" w:rsidRDefault="005B7AC4">
            <w:pPr>
              <w:keepNext/>
              <w:keepLines/>
              <w:spacing w:after="0" w:line="240" w:lineRule="auto"/>
            </w:pPr>
            <w:r>
              <w:rPr>
                <w:sz w:val="18"/>
              </w:rPr>
              <w:t>UKUPAN MANJAK PRIHODA (šifre Y034-X067)</w:t>
            </w:r>
          </w:p>
        </w:tc>
        <w:tc>
          <w:tcPr>
            <w:tcW w:w="700" w:type="dxa"/>
            <w:tcMar>
              <w:top w:w="0" w:type="dxa"/>
              <w:bottom w:w="0" w:type="dxa"/>
            </w:tcMar>
            <w:vAlign w:val="center"/>
          </w:tcPr>
          <w:p w:rsidR="00BE2C99" w:rsidRDefault="005B7AC4">
            <w:pPr>
              <w:keepNext/>
              <w:keepLines/>
              <w:spacing w:after="0" w:line="240" w:lineRule="auto"/>
            </w:pPr>
            <w:r>
              <w:rPr>
                <w:sz w:val="18"/>
              </w:rPr>
              <w:t>Y004</w:t>
            </w:r>
          </w:p>
        </w:tc>
        <w:tc>
          <w:tcPr>
            <w:tcW w:w="1860" w:type="dxa"/>
            <w:tcMar>
              <w:top w:w="0" w:type="dxa"/>
              <w:bottom w:w="0" w:type="dxa"/>
            </w:tcMar>
            <w:vAlign w:val="center"/>
          </w:tcPr>
          <w:p w:rsidR="00BE2C99" w:rsidRDefault="005B7AC4">
            <w:pPr>
              <w:keepNext/>
              <w:keepLines/>
              <w:spacing w:after="0" w:line="240" w:lineRule="auto"/>
              <w:jc w:val="right"/>
            </w:pPr>
            <w:r>
              <w:rPr>
                <w:sz w:val="18"/>
              </w:rPr>
              <w:t>251.862,36</w:t>
            </w:r>
          </w:p>
        </w:tc>
        <w:tc>
          <w:tcPr>
            <w:tcW w:w="1860" w:type="dxa"/>
            <w:tcMar>
              <w:top w:w="0" w:type="dxa"/>
              <w:bottom w:w="0" w:type="dxa"/>
            </w:tcMar>
            <w:vAlign w:val="center"/>
          </w:tcPr>
          <w:p w:rsidR="00BE2C99" w:rsidRDefault="005B7AC4">
            <w:pPr>
              <w:keepNext/>
              <w:keepLines/>
              <w:spacing w:after="0" w:line="240" w:lineRule="auto"/>
              <w:jc w:val="right"/>
            </w:pPr>
            <w:r>
              <w:rPr>
                <w:sz w:val="18"/>
              </w:rPr>
              <w:t>84.004,77</w:t>
            </w:r>
          </w:p>
        </w:tc>
        <w:tc>
          <w:tcPr>
            <w:tcW w:w="700" w:type="dxa"/>
            <w:tcMar>
              <w:top w:w="0" w:type="dxa"/>
              <w:bottom w:w="0" w:type="dxa"/>
            </w:tcMar>
            <w:vAlign w:val="center"/>
          </w:tcPr>
          <w:p w:rsidR="00BE2C99" w:rsidRDefault="005B7AC4">
            <w:pPr>
              <w:keepNext/>
              <w:keepLines/>
              <w:spacing w:after="0" w:line="240" w:lineRule="auto"/>
              <w:jc w:val="right"/>
            </w:pPr>
            <w:r>
              <w:rPr>
                <w:sz w:val="18"/>
              </w:rPr>
              <w:t>33,4</w:t>
            </w:r>
          </w:p>
        </w:tc>
      </w:tr>
    </w:tbl>
    <w:p w:rsidR="00BE2C99" w:rsidRDefault="00BE2C99">
      <w:pPr>
        <w:spacing w:after="0"/>
      </w:pPr>
    </w:p>
    <w:p w:rsidR="00BE2C99" w:rsidRDefault="005B7AC4">
      <w:r>
        <w:t>Manjak prihoda i primitaka u iznosu 84.004,77 EUR  nastao je zbog odrađenih  a neplaćenih usluga od strane HZZO-a i ostalih korisnika u iznosu od 26-</w:t>
      </w:r>
      <w:proofErr w:type="spellStart"/>
      <w:r>
        <w:t>tis</w:t>
      </w:r>
      <w:proofErr w:type="spellEnd"/>
      <w:r>
        <w:t xml:space="preserve"> EUR, uplate 35-</w:t>
      </w:r>
      <w:proofErr w:type="spellStart"/>
      <w:r>
        <w:t>tis</w:t>
      </w:r>
      <w:proofErr w:type="spellEnd"/>
      <w:r>
        <w:t xml:space="preserve"> EUR u proračun Međimurske županije temelje Odluke o raspodjeli rezultata, dodatna ul</w:t>
      </w:r>
      <w:r>
        <w:t xml:space="preserve">aganja na </w:t>
      </w:r>
      <w:proofErr w:type="spellStart"/>
      <w:r>
        <w:t>građ</w:t>
      </w:r>
      <w:proofErr w:type="spellEnd"/>
      <w:r>
        <w:t>. objektu u iznosu od 21-</w:t>
      </w:r>
      <w:proofErr w:type="spellStart"/>
      <w:r>
        <w:t>tis</w:t>
      </w:r>
      <w:proofErr w:type="spellEnd"/>
      <w:r>
        <w:t xml:space="preserve"> EUR. Manjku je pridonio trošak plaća pripravnika u iznosu od 16.624,92 EUR a čiji prihod (za pokriće troškova plaća) je pristigao u 2024. godini te se nalazi u </w:t>
      </w:r>
      <w:proofErr w:type="spellStart"/>
      <w:r>
        <w:t>fin.rezultatu</w:t>
      </w:r>
      <w:proofErr w:type="spellEnd"/>
      <w:r>
        <w:t xml:space="preserve"> 2024. godine. </w:t>
      </w:r>
    </w:p>
    <w:p w:rsidR="00BE2C99" w:rsidRDefault="00BE2C99"/>
    <w:p w:rsidR="00BE2C99" w:rsidRDefault="005B7AC4">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w:t>
            </w:r>
            <w:r>
              <w:rPr>
                <w:b/>
                <w:sz w:val="18"/>
              </w:rPr>
              <w:t>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5B7AC4">
            <w:pPr>
              <w:keepNext/>
              <w:keepLines/>
              <w:spacing w:after="0" w:line="240" w:lineRule="auto"/>
            </w:pPr>
            <w:r>
              <w:rPr>
                <w:sz w:val="18"/>
              </w:rPr>
              <w:t>9221x, 9222x</w:t>
            </w:r>
          </w:p>
        </w:tc>
        <w:tc>
          <w:tcPr>
            <w:tcW w:w="3180" w:type="dxa"/>
            <w:tcMar>
              <w:top w:w="0" w:type="dxa"/>
              <w:bottom w:w="0" w:type="dxa"/>
            </w:tcMar>
            <w:vAlign w:val="center"/>
          </w:tcPr>
          <w:p w:rsidR="00BE2C99" w:rsidRDefault="005B7AC4">
            <w:pPr>
              <w:keepNext/>
              <w:keepLines/>
              <w:spacing w:after="0" w:line="240" w:lineRule="auto"/>
            </w:pPr>
            <w:r>
              <w:rPr>
                <w:sz w:val="18"/>
              </w:rPr>
              <w:t>Višak prihoda - preneseni (šifre 92211+92212-92221-92222)</w:t>
            </w:r>
          </w:p>
        </w:tc>
        <w:tc>
          <w:tcPr>
            <w:tcW w:w="700" w:type="dxa"/>
            <w:tcMar>
              <w:top w:w="0" w:type="dxa"/>
              <w:bottom w:w="0" w:type="dxa"/>
            </w:tcMar>
            <w:vAlign w:val="center"/>
          </w:tcPr>
          <w:p w:rsidR="00BE2C99" w:rsidRDefault="005B7AC4">
            <w:pPr>
              <w:keepNext/>
              <w:keepLines/>
              <w:spacing w:after="0" w:line="240" w:lineRule="auto"/>
            </w:pPr>
            <w:r>
              <w:rPr>
                <w:sz w:val="18"/>
              </w:rPr>
              <w:t>9221x,9222x VP</w:t>
            </w:r>
          </w:p>
        </w:tc>
        <w:tc>
          <w:tcPr>
            <w:tcW w:w="1860" w:type="dxa"/>
            <w:tcMar>
              <w:top w:w="0" w:type="dxa"/>
              <w:bottom w:w="0" w:type="dxa"/>
            </w:tcMar>
            <w:vAlign w:val="center"/>
          </w:tcPr>
          <w:p w:rsidR="00BE2C99" w:rsidRDefault="005B7AC4">
            <w:pPr>
              <w:keepNext/>
              <w:keepLines/>
              <w:spacing w:after="0" w:line="240" w:lineRule="auto"/>
              <w:jc w:val="right"/>
            </w:pPr>
            <w:r>
              <w:rPr>
                <w:sz w:val="18"/>
              </w:rPr>
              <w:t>641.349,98</w:t>
            </w:r>
          </w:p>
        </w:tc>
        <w:tc>
          <w:tcPr>
            <w:tcW w:w="1860" w:type="dxa"/>
            <w:tcMar>
              <w:top w:w="0" w:type="dxa"/>
              <w:bottom w:w="0" w:type="dxa"/>
            </w:tcMar>
            <w:vAlign w:val="center"/>
          </w:tcPr>
          <w:p w:rsidR="00BE2C99" w:rsidRDefault="005B7AC4">
            <w:pPr>
              <w:keepNext/>
              <w:keepLines/>
              <w:spacing w:after="0" w:line="240" w:lineRule="auto"/>
              <w:jc w:val="right"/>
            </w:pPr>
            <w:r>
              <w:rPr>
                <w:sz w:val="18"/>
              </w:rPr>
              <w:t>389.227,11</w:t>
            </w:r>
          </w:p>
        </w:tc>
        <w:tc>
          <w:tcPr>
            <w:tcW w:w="700" w:type="dxa"/>
            <w:tcMar>
              <w:top w:w="0" w:type="dxa"/>
              <w:bottom w:w="0" w:type="dxa"/>
            </w:tcMar>
            <w:vAlign w:val="center"/>
          </w:tcPr>
          <w:p w:rsidR="00BE2C99" w:rsidRDefault="005B7AC4">
            <w:pPr>
              <w:keepNext/>
              <w:keepLines/>
              <w:spacing w:after="0" w:line="240" w:lineRule="auto"/>
              <w:jc w:val="right"/>
            </w:pPr>
            <w:r>
              <w:rPr>
                <w:sz w:val="18"/>
              </w:rPr>
              <w:t>60,7</w:t>
            </w:r>
          </w:p>
        </w:tc>
      </w:tr>
    </w:tbl>
    <w:p w:rsidR="00BE2C99" w:rsidRDefault="00BE2C99">
      <w:pPr>
        <w:spacing w:after="0"/>
      </w:pPr>
    </w:p>
    <w:p w:rsidR="00BE2C99" w:rsidRDefault="005B7AC4">
      <w:pPr>
        <w:jc w:val="both"/>
      </w:pPr>
      <w:r>
        <w:t xml:space="preserve">Preneseni višak prihoda iz prethodne godine iznosio je 389.487,62 EUR. Tijekom 2025. godine taj je iznos umanjen za 260,51 EUR te iznosi 389.227,11 EUR. Do umanjenja </w:t>
      </w:r>
      <w:r>
        <w:lastRenderedPageBreak/>
        <w:t>rezultata došlo je uslijed povrata neiskorištenog dijela sredstava namijenjenih za financi</w:t>
      </w:r>
      <w:r>
        <w:t>ranje plaća pripravnika Hrvatskom zavodu za zapošljavanje (HZZ). Budući da je prihod za financiranje plaća pripravnika u cijelosti priznat u 2024. godini, povrat neiskorištenih sredstava u 2025. godini tretira se kao korekcija rezultata prethodne godine, a</w:t>
      </w:r>
      <w:r>
        <w:t xml:space="preserve"> ne kao redovni rashod tekuće godine. Ovim je postupkom osigurano točno iskazivanje raspoloživog viška prihoda za daljnje poslovanje.</w:t>
      </w:r>
    </w:p>
    <w:p w:rsidR="00BE2C99" w:rsidRDefault="00BE2C99"/>
    <w:p w:rsidR="00BE2C99" w:rsidRDefault="005B7AC4">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w:t>
            </w:r>
            <w:r>
              <w:rPr>
                <w:b/>
                <w:sz w:val="18"/>
              </w:rPr>
              <w:t>tajnom razdoblju tekuće godine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BE2C99">
            <w:pPr>
              <w:keepNext/>
              <w:keepLines/>
              <w:spacing w:after="0" w:line="240" w:lineRule="auto"/>
            </w:pPr>
          </w:p>
        </w:tc>
        <w:tc>
          <w:tcPr>
            <w:tcW w:w="3180" w:type="dxa"/>
            <w:tcMar>
              <w:top w:w="0" w:type="dxa"/>
              <w:bottom w:w="0" w:type="dxa"/>
            </w:tcMar>
            <w:vAlign w:val="center"/>
          </w:tcPr>
          <w:p w:rsidR="00BE2C99" w:rsidRDefault="005B7AC4">
            <w:pPr>
              <w:keepNext/>
              <w:keepLines/>
              <w:spacing w:after="0" w:line="240" w:lineRule="auto"/>
            </w:pPr>
            <w:r>
              <w:rPr>
                <w:sz w:val="18"/>
              </w:rPr>
              <w:t>MANJAK PRIHODA I PRIMITAKA (šifre Y345-X678)</w:t>
            </w:r>
          </w:p>
        </w:tc>
        <w:tc>
          <w:tcPr>
            <w:tcW w:w="700" w:type="dxa"/>
            <w:tcMar>
              <w:top w:w="0" w:type="dxa"/>
              <w:bottom w:w="0" w:type="dxa"/>
            </w:tcMar>
            <w:vAlign w:val="center"/>
          </w:tcPr>
          <w:p w:rsidR="00BE2C99" w:rsidRDefault="005B7AC4">
            <w:pPr>
              <w:keepNext/>
              <w:keepLines/>
              <w:spacing w:after="0" w:line="240" w:lineRule="auto"/>
            </w:pPr>
            <w:r>
              <w:rPr>
                <w:sz w:val="18"/>
              </w:rPr>
              <w:t>Y005</w:t>
            </w:r>
          </w:p>
        </w:tc>
        <w:tc>
          <w:tcPr>
            <w:tcW w:w="1860" w:type="dxa"/>
            <w:tcMar>
              <w:top w:w="0" w:type="dxa"/>
              <w:bottom w:w="0" w:type="dxa"/>
            </w:tcMar>
            <w:vAlign w:val="center"/>
          </w:tcPr>
          <w:p w:rsidR="00BE2C99" w:rsidRDefault="005B7AC4">
            <w:pPr>
              <w:keepNext/>
              <w:keepLines/>
              <w:spacing w:after="0" w:line="240" w:lineRule="auto"/>
              <w:jc w:val="right"/>
            </w:pPr>
            <w:r>
              <w:rPr>
                <w:sz w:val="18"/>
              </w:rPr>
              <w:t>251.862,36</w:t>
            </w:r>
          </w:p>
        </w:tc>
        <w:tc>
          <w:tcPr>
            <w:tcW w:w="1860" w:type="dxa"/>
            <w:tcMar>
              <w:top w:w="0" w:type="dxa"/>
              <w:bottom w:w="0" w:type="dxa"/>
            </w:tcMar>
            <w:vAlign w:val="center"/>
          </w:tcPr>
          <w:p w:rsidR="00BE2C99" w:rsidRDefault="005B7AC4">
            <w:pPr>
              <w:keepNext/>
              <w:keepLines/>
              <w:spacing w:after="0" w:line="240" w:lineRule="auto"/>
              <w:jc w:val="right"/>
            </w:pPr>
            <w:r>
              <w:rPr>
                <w:sz w:val="18"/>
              </w:rPr>
              <w:t>84.004,77</w:t>
            </w:r>
          </w:p>
        </w:tc>
        <w:tc>
          <w:tcPr>
            <w:tcW w:w="700" w:type="dxa"/>
            <w:tcMar>
              <w:top w:w="0" w:type="dxa"/>
              <w:bottom w:w="0" w:type="dxa"/>
            </w:tcMar>
            <w:vAlign w:val="center"/>
          </w:tcPr>
          <w:p w:rsidR="00BE2C99" w:rsidRDefault="005B7AC4">
            <w:pPr>
              <w:keepNext/>
              <w:keepLines/>
              <w:spacing w:after="0" w:line="240" w:lineRule="auto"/>
              <w:jc w:val="right"/>
            </w:pPr>
            <w:r>
              <w:rPr>
                <w:sz w:val="18"/>
              </w:rPr>
              <w:t>33,4</w:t>
            </w:r>
          </w:p>
        </w:tc>
      </w:tr>
    </w:tbl>
    <w:p w:rsidR="00BE2C99" w:rsidRDefault="00BE2C99">
      <w:pPr>
        <w:spacing w:after="0"/>
      </w:pPr>
    </w:p>
    <w:p w:rsidR="00BE2C99" w:rsidRDefault="005B7AC4">
      <w:pPr>
        <w:jc w:val="both"/>
      </w:pPr>
      <w:r>
        <w:t>Manjak prihoda i primitaka u iznosu 84.004,77 EUR  nastao je zbog odrađenih  a neplaćenih usluga od strane HZZO-a i ostalih korisnika u iznosu od 26.-</w:t>
      </w:r>
      <w:proofErr w:type="spellStart"/>
      <w:r>
        <w:t>tis</w:t>
      </w:r>
      <w:proofErr w:type="spellEnd"/>
      <w:r>
        <w:t xml:space="preserve"> EUR, uplate 35-</w:t>
      </w:r>
      <w:proofErr w:type="spellStart"/>
      <w:r>
        <w:t>tis</w:t>
      </w:r>
      <w:proofErr w:type="spellEnd"/>
      <w:r>
        <w:t xml:space="preserve"> EUR u proračun Međimurske županije temeljem Odluke o raspodjeli rezultata, dodatna </w:t>
      </w:r>
      <w:r>
        <w:t xml:space="preserve">ulaganja na </w:t>
      </w:r>
      <w:proofErr w:type="spellStart"/>
      <w:r>
        <w:t>građ</w:t>
      </w:r>
      <w:proofErr w:type="spellEnd"/>
      <w:r>
        <w:t>. objektu u iznosu od 21-</w:t>
      </w:r>
      <w:proofErr w:type="spellStart"/>
      <w:r>
        <w:t>tis</w:t>
      </w:r>
      <w:proofErr w:type="spellEnd"/>
      <w:r>
        <w:t xml:space="preserve"> EUR. Manjku je pridonio trošak plaća pripravnika u iznosu od 16.624,92 EUR a čiji prihod (za pokriće troškova plaća) je pristigao u 2024. godini te se nalazi u financijskom rezultatu 2024. godine. </w:t>
      </w:r>
    </w:p>
    <w:p w:rsidR="00BE2C99" w:rsidRDefault="00BE2C99"/>
    <w:p w:rsidR="00BE2C99" w:rsidRDefault="005B7AC4">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5B7AC4">
            <w:pPr>
              <w:keepNext/>
              <w:keepLines/>
              <w:spacing w:after="0" w:line="240" w:lineRule="auto"/>
            </w:pPr>
            <w:r>
              <w:rPr>
                <w:sz w:val="18"/>
              </w:rPr>
              <w:t>9221-9222</w:t>
            </w:r>
          </w:p>
        </w:tc>
        <w:tc>
          <w:tcPr>
            <w:tcW w:w="3180" w:type="dxa"/>
            <w:tcMar>
              <w:top w:w="0" w:type="dxa"/>
              <w:bottom w:w="0" w:type="dxa"/>
            </w:tcMar>
            <w:vAlign w:val="center"/>
          </w:tcPr>
          <w:p w:rsidR="00BE2C99" w:rsidRDefault="005B7AC4">
            <w:pPr>
              <w:keepNext/>
              <w:keepLines/>
              <w:spacing w:after="0" w:line="240" w:lineRule="auto"/>
            </w:pPr>
            <w:r>
              <w:rPr>
                <w:sz w:val="18"/>
              </w:rPr>
              <w:t xml:space="preserve">Višak prihoda i primitaka - preneseni (šifre '9221x,9222x VP' - '9221x,9222x MP' + 92213 - </w:t>
            </w:r>
            <w:r>
              <w:rPr>
                <w:sz w:val="18"/>
              </w:rPr>
              <w:t>92223)</w:t>
            </w:r>
          </w:p>
        </w:tc>
        <w:tc>
          <w:tcPr>
            <w:tcW w:w="700" w:type="dxa"/>
            <w:tcMar>
              <w:top w:w="0" w:type="dxa"/>
              <w:bottom w:w="0" w:type="dxa"/>
            </w:tcMar>
            <w:vAlign w:val="center"/>
          </w:tcPr>
          <w:p w:rsidR="00BE2C99" w:rsidRDefault="005B7AC4">
            <w:pPr>
              <w:keepNext/>
              <w:keepLines/>
              <w:spacing w:after="0" w:line="240" w:lineRule="auto"/>
            </w:pPr>
            <w:r>
              <w:rPr>
                <w:sz w:val="18"/>
              </w:rPr>
              <w:t>9221-9222</w:t>
            </w:r>
          </w:p>
        </w:tc>
        <w:tc>
          <w:tcPr>
            <w:tcW w:w="1860" w:type="dxa"/>
            <w:tcMar>
              <w:top w:w="0" w:type="dxa"/>
              <w:bottom w:w="0" w:type="dxa"/>
            </w:tcMar>
            <w:vAlign w:val="center"/>
          </w:tcPr>
          <w:p w:rsidR="00BE2C99" w:rsidRDefault="005B7AC4">
            <w:pPr>
              <w:keepNext/>
              <w:keepLines/>
              <w:spacing w:after="0" w:line="240" w:lineRule="auto"/>
              <w:jc w:val="right"/>
            </w:pPr>
            <w:r>
              <w:rPr>
                <w:sz w:val="18"/>
              </w:rPr>
              <w:t>641.349,98</w:t>
            </w:r>
          </w:p>
        </w:tc>
        <w:tc>
          <w:tcPr>
            <w:tcW w:w="1860" w:type="dxa"/>
            <w:tcMar>
              <w:top w:w="0" w:type="dxa"/>
              <w:bottom w:w="0" w:type="dxa"/>
            </w:tcMar>
            <w:vAlign w:val="center"/>
          </w:tcPr>
          <w:p w:rsidR="00BE2C99" w:rsidRDefault="005B7AC4">
            <w:pPr>
              <w:keepNext/>
              <w:keepLines/>
              <w:spacing w:after="0" w:line="240" w:lineRule="auto"/>
              <w:jc w:val="right"/>
            </w:pPr>
            <w:r>
              <w:rPr>
                <w:sz w:val="18"/>
              </w:rPr>
              <w:t>389.227,11</w:t>
            </w:r>
          </w:p>
        </w:tc>
        <w:tc>
          <w:tcPr>
            <w:tcW w:w="700" w:type="dxa"/>
            <w:tcMar>
              <w:top w:w="0" w:type="dxa"/>
              <w:bottom w:w="0" w:type="dxa"/>
            </w:tcMar>
            <w:vAlign w:val="center"/>
          </w:tcPr>
          <w:p w:rsidR="00BE2C99" w:rsidRDefault="005B7AC4">
            <w:pPr>
              <w:keepNext/>
              <w:keepLines/>
              <w:spacing w:after="0" w:line="240" w:lineRule="auto"/>
              <w:jc w:val="right"/>
            </w:pPr>
            <w:r>
              <w:rPr>
                <w:sz w:val="18"/>
              </w:rPr>
              <w:t>60,7</w:t>
            </w:r>
          </w:p>
        </w:tc>
      </w:tr>
    </w:tbl>
    <w:p w:rsidR="00BE2C99" w:rsidRDefault="00BE2C99">
      <w:pPr>
        <w:spacing w:after="0"/>
      </w:pPr>
    </w:p>
    <w:p w:rsidR="00BE2C99" w:rsidRDefault="005B7AC4">
      <w:pPr>
        <w:jc w:val="both"/>
      </w:pPr>
      <w:r>
        <w:t>Preneseni višak prihoda iz prethodne godine iznosio je 389.487,62 EUR. Tijekom 2025. godine taj je iznos umanjen za 260,51 EUR te iznosi 389.227,11 EUR. Do umanjenja rezultata došlo je uslijed povrata neiskorištenog dijela sredstava Hrvatskom zavodu za zap</w:t>
      </w:r>
      <w:r>
        <w:t>ošljavanje (HZZ) za financiranje plaća pripravnika. </w:t>
      </w:r>
    </w:p>
    <w:p w:rsidR="00BE2C99" w:rsidRDefault="00BE2C99"/>
    <w:p w:rsidR="00BE2C99" w:rsidRDefault="005B7AC4">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BE2C99">
            <w:pPr>
              <w:keepNext/>
              <w:keepLines/>
              <w:spacing w:after="0" w:line="240" w:lineRule="auto"/>
            </w:pPr>
          </w:p>
        </w:tc>
        <w:tc>
          <w:tcPr>
            <w:tcW w:w="3180" w:type="dxa"/>
            <w:tcMar>
              <w:top w:w="0" w:type="dxa"/>
              <w:bottom w:w="0" w:type="dxa"/>
            </w:tcMar>
            <w:vAlign w:val="center"/>
          </w:tcPr>
          <w:p w:rsidR="00BE2C99" w:rsidRDefault="005B7AC4">
            <w:pPr>
              <w:keepNext/>
              <w:keepLines/>
              <w:spacing w:after="0" w:line="240" w:lineRule="auto"/>
            </w:pPr>
            <w:r>
              <w:rPr>
                <w:sz w:val="18"/>
              </w:rPr>
              <w:t xml:space="preserve">Višak prihoda i primitaka raspoloživ </w:t>
            </w:r>
            <w:r>
              <w:rPr>
                <w:sz w:val="18"/>
              </w:rPr>
              <w:t>u sljedećem razdoblju (šifre X005 + '9221-9222' - Y005 - '9222-9221')</w:t>
            </w:r>
          </w:p>
        </w:tc>
        <w:tc>
          <w:tcPr>
            <w:tcW w:w="700" w:type="dxa"/>
            <w:tcMar>
              <w:top w:w="0" w:type="dxa"/>
              <w:bottom w:w="0" w:type="dxa"/>
            </w:tcMar>
            <w:vAlign w:val="center"/>
          </w:tcPr>
          <w:p w:rsidR="00BE2C99" w:rsidRDefault="005B7AC4">
            <w:pPr>
              <w:keepNext/>
              <w:keepLines/>
              <w:spacing w:after="0" w:line="240" w:lineRule="auto"/>
            </w:pPr>
            <w:r>
              <w:rPr>
                <w:sz w:val="18"/>
              </w:rPr>
              <w:t>X006</w:t>
            </w:r>
          </w:p>
        </w:tc>
        <w:tc>
          <w:tcPr>
            <w:tcW w:w="1860" w:type="dxa"/>
            <w:tcMar>
              <w:top w:w="0" w:type="dxa"/>
              <w:bottom w:w="0" w:type="dxa"/>
            </w:tcMar>
            <w:vAlign w:val="center"/>
          </w:tcPr>
          <w:p w:rsidR="00BE2C99" w:rsidRDefault="005B7AC4">
            <w:pPr>
              <w:keepNext/>
              <w:keepLines/>
              <w:spacing w:after="0" w:line="240" w:lineRule="auto"/>
              <w:jc w:val="right"/>
            </w:pPr>
            <w:r>
              <w:rPr>
                <w:sz w:val="18"/>
              </w:rPr>
              <w:t>389.487,62</w:t>
            </w:r>
          </w:p>
        </w:tc>
        <w:tc>
          <w:tcPr>
            <w:tcW w:w="1860" w:type="dxa"/>
            <w:tcMar>
              <w:top w:w="0" w:type="dxa"/>
              <w:bottom w:w="0" w:type="dxa"/>
            </w:tcMar>
            <w:vAlign w:val="center"/>
          </w:tcPr>
          <w:p w:rsidR="00BE2C99" w:rsidRDefault="005B7AC4">
            <w:pPr>
              <w:keepNext/>
              <w:keepLines/>
              <w:spacing w:after="0" w:line="240" w:lineRule="auto"/>
              <w:jc w:val="right"/>
            </w:pPr>
            <w:r>
              <w:rPr>
                <w:sz w:val="18"/>
              </w:rPr>
              <w:t>305.222,34</w:t>
            </w:r>
          </w:p>
        </w:tc>
        <w:tc>
          <w:tcPr>
            <w:tcW w:w="700" w:type="dxa"/>
            <w:tcMar>
              <w:top w:w="0" w:type="dxa"/>
              <w:bottom w:w="0" w:type="dxa"/>
            </w:tcMar>
            <w:vAlign w:val="center"/>
          </w:tcPr>
          <w:p w:rsidR="00BE2C99" w:rsidRDefault="005B7AC4">
            <w:pPr>
              <w:keepNext/>
              <w:keepLines/>
              <w:spacing w:after="0" w:line="240" w:lineRule="auto"/>
              <w:jc w:val="right"/>
            </w:pPr>
            <w:r>
              <w:rPr>
                <w:sz w:val="18"/>
              </w:rPr>
              <w:t>78,4</w:t>
            </w:r>
          </w:p>
        </w:tc>
      </w:tr>
    </w:tbl>
    <w:p w:rsidR="00BE2C99" w:rsidRDefault="00BE2C99">
      <w:pPr>
        <w:spacing w:after="0"/>
      </w:pPr>
    </w:p>
    <w:p w:rsidR="00BE2C99" w:rsidRDefault="005B7AC4">
      <w:r>
        <w:lastRenderedPageBreak/>
        <w:t>Zavod za javno zdravstvo Međimurske županije je u 2025. godini ostvario ukupan višak prihoda  na računu 922 u iznosu od 305.222,34 EUR prema kategorijama kako slijedi:</w:t>
      </w:r>
    </w:p>
    <w:p w:rsidR="00BE2C99" w:rsidRDefault="005B7AC4">
      <w:r>
        <w:t> </w:t>
      </w:r>
    </w:p>
    <w:tbl>
      <w:tblPr>
        <w:tblStyle w:val="Reetkatablice"/>
        <w:tblW w:w="5000" w:type="pct"/>
        <w:tblLook w:val="04A0" w:firstRow="1" w:lastRow="0" w:firstColumn="1" w:lastColumn="0" w:noHBand="0" w:noVBand="1"/>
      </w:tblPr>
      <w:tblGrid>
        <w:gridCol w:w="1497"/>
        <w:gridCol w:w="2785"/>
        <w:gridCol w:w="5006"/>
      </w:tblGrid>
      <w:tr w:rsidR="00BE2C99">
        <w:tc>
          <w:tcPr>
            <w:tcW w:w="806" w:type="pct"/>
            <w:vAlign w:val="center"/>
          </w:tcPr>
          <w:p w:rsidR="00BE2C99" w:rsidRDefault="005B7AC4">
            <w:r>
              <w:t>Broj računa</w:t>
            </w:r>
          </w:p>
        </w:tc>
        <w:tc>
          <w:tcPr>
            <w:tcW w:w="1498" w:type="pct"/>
            <w:vAlign w:val="center"/>
          </w:tcPr>
          <w:p w:rsidR="00BE2C99" w:rsidRDefault="005B7AC4">
            <w:r>
              <w:t>Naziv računa</w:t>
            </w:r>
          </w:p>
        </w:tc>
        <w:tc>
          <w:tcPr>
            <w:tcW w:w="2694" w:type="pct"/>
            <w:vAlign w:val="center"/>
          </w:tcPr>
          <w:p w:rsidR="00BE2C99" w:rsidRDefault="005B7AC4">
            <w:r>
              <w:t>Iznos</w:t>
            </w:r>
          </w:p>
        </w:tc>
      </w:tr>
      <w:tr w:rsidR="00BE2C99">
        <w:tc>
          <w:tcPr>
            <w:tcW w:w="806" w:type="pct"/>
            <w:vAlign w:val="center"/>
          </w:tcPr>
          <w:p w:rsidR="00BE2C99" w:rsidRDefault="005B7AC4">
            <w:r>
              <w:t>92211</w:t>
            </w:r>
          </w:p>
        </w:tc>
        <w:tc>
          <w:tcPr>
            <w:tcW w:w="1498" w:type="pct"/>
            <w:vAlign w:val="center"/>
          </w:tcPr>
          <w:p w:rsidR="00BE2C99" w:rsidRDefault="005B7AC4">
            <w:r>
              <w:t>Višak prihoda poslovanja</w:t>
            </w:r>
          </w:p>
        </w:tc>
        <w:tc>
          <w:tcPr>
            <w:tcW w:w="2694" w:type="pct"/>
            <w:vAlign w:val="center"/>
          </w:tcPr>
          <w:p w:rsidR="00BE2C99" w:rsidRDefault="005B7AC4">
            <w:r>
              <w:t>327.795,08 EUR</w:t>
            </w:r>
          </w:p>
        </w:tc>
      </w:tr>
      <w:tr w:rsidR="00BE2C99">
        <w:tc>
          <w:tcPr>
            <w:tcW w:w="806" w:type="pct"/>
            <w:vAlign w:val="center"/>
          </w:tcPr>
          <w:p w:rsidR="00BE2C99" w:rsidRDefault="005B7AC4">
            <w:r>
              <w:t>92222</w:t>
            </w:r>
          </w:p>
        </w:tc>
        <w:tc>
          <w:tcPr>
            <w:tcW w:w="1498" w:type="pct"/>
            <w:vAlign w:val="center"/>
          </w:tcPr>
          <w:p w:rsidR="00BE2C99" w:rsidRDefault="005B7AC4">
            <w:r>
              <w:t>Manjak prihoda od nefinancijske imovine</w:t>
            </w:r>
          </w:p>
        </w:tc>
        <w:tc>
          <w:tcPr>
            <w:tcW w:w="2694" w:type="pct"/>
            <w:vAlign w:val="center"/>
          </w:tcPr>
          <w:p w:rsidR="00BE2C99" w:rsidRDefault="005B7AC4">
            <w:r>
              <w:t>25.572,74 EUR</w:t>
            </w:r>
          </w:p>
        </w:tc>
      </w:tr>
    </w:tbl>
    <w:p w:rsidR="00BE2C99" w:rsidRDefault="005B7AC4">
      <w:r>
        <w:t> </w:t>
      </w:r>
    </w:p>
    <w:p w:rsidR="00BE2C99" w:rsidRDefault="005B7AC4">
      <w:r>
        <w:t>Utvrđen višak prihoda poslovanja na računu 92211 u iznosu od 327.795,08 EUR  iskazan prema izvorima financiranja je sljedeći:</w:t>
      </w:r>
    </w:p>
    <w:tbl>
      <w:tblPr>
        <w:tblStyle w:val="Reetkatablice"/>
        <w:tblW w:w="5000" w:type="pct"/>
        <w:tblLook w:val="04A0" w:firstRow="1" w:lastRow="0" w:firstColumn="1" w:lastColumn="0" w:noHBand="0" w:noVBand="1"/>
      </w:tblPr>
      <w:tblGrid>
        <w:gridCol w:w="4644"/>
        <w:gridCol w:w="4644"/>
      </w:tblGrid>
      <w:tr w:rsidR="00BE2C99">
        <w:trPr>
          <w:trHeight w:val="542"/>
        </w:trPr>
        <w:tc>
          <w:tcPr>
            <w:tcW w:w="2497" w:type="pct"/>
            <w:vAlign w:val="center"/>
          </w:tcPr>
          <w:p w:rsidR="00BE2C99" w:rsidRDefault="005B7AC4">
            <w:r>
              <w:t>IF 31- VLASTITI PRIHODI</w:t>
            </w:r>
          </w:p>
        </w:tc>
        <w:tc>
          <w:tcPr>
            <w:tcW w:w="2497" w:type="pct"/>
            <w:vAlign w:val="center"/>
          </w:tcPr>
          <w:p w:rsidR="00BE2C99" w:rsidRDefault="005B7AC4">
            <w:r>
              <w:t>182.207,13 EUR</w:t>
            </w:r>
          </w:p>
        </w:tc>
      </w:tr>
      <w:tr w:rsidR="00BE2C99">
        <w:trPr>
          <w:trHeight w:val="542"/>
        </w:trPr>
        <w:tc>
          <w:tcPr>
            <w:tcW w:w="2497" w:type="pct"/>
            <w:vAlign w:val="center"/>
          </w:tcPr>
          <w:p w:rsidR="00BE2C99" w:rsidRDefault="005B7AC4">
            <w:r>
              <w:t>IF 52-POMOĆI</w:t>
            </w:r>
          </w:p>
        </w:tc>
        <w:tc>
          <w:tcPr>
            <w:tcW w:w="2497" w:type="pct"/>
            <w:vAlign w:val="center"/>
          </w:tcPr>
          <w:p w:rsidR="00BE2C99" w:rsidRDefault="005B7AC4">
            <w:r>
              <w:t>168.280,76 EUR</w:t>
            </w:r>
          </w:p>
        </w:tc>
      </w:tr>
      <w:tr w:rsidR="00BE2C99">
        <w:trPr>
          <w:trHeight w:val="542"/>
        </w:trPr>
        <w:tc>
          <w:tcPr>
            <w:tcW w:w="2497" w:type="pct"/>
            <w:vAlign w:val="center"/>
          </w:tcPr>
          <w:p w:rsidR="00BE2C99" w:rsidRDefault="005B7AC4">
            <w:r>
              <w:t>IF 5</w:t>
            </w:r>
            <w:r>
              <w:t>81- POMOĆI EU</w:t>
            </w:r>
          </w:p>
        </w:tc>
        <w:tc>
          <w:tcPr>
            <w:tcW w:w="2497" w:type="pct"/>
            <w:vAlign w:val="center"/>
          </w:tcPr>
          <w:p w:rsidR="00BE2C99" w:rsidRDefault="005B7AC4">
            <w:r>
              <w:t>-23.372,20 EUR</w:t>
            </w:r>
          </w:p>
        </w:tc>
      </w:tr>
      <w:tr w:rsidR="00BE2C99">
        <w:trPr>
          <w:trHeight w:val="542"/>
        </w:trPr>
        <w:tc>
          <w:tcPr>
            <w:tcW w:w="2497" w:type="pct"/>
            <w:vAlign w:val="center"/>
          </w:tcPr>
          <w:p w:rsidR="00BE2C99" w:rsidRDefault="005B7AC4">
            <w:r>
              <w:t>IF 71- PRIHODI OD NAPLATE ŠTETE OSIGURANJA</w:t>
            </w:r>
          </w:p>
        </w:tc>
        <w:tc>
          <w:tcPr>
            <w:tcW w:w="2497" w:type="pct"/>
            <w:vAlign w:val="center"/>
          </w:tcPr>
          <w:p w:rsidR="00BE2C99" w:rsidRDefault="005B7AC4">
            <w:r>
              <w:t>679,39 EUR</w:t>
            </w:r>
          </w:p>
        </w:tc>
      </w:tr>
    </w:tbl>
    <w:p w:rsidR="00BE2C99" w:rsidRDefault="005B7AC4">
      <w:r>
        <w:t> </w:t>
      </w:r>
    </w:p>
    <w:p w:rsidR="00BE2C99" w:rsidRDefault="005B7AC4">
      <w:r>
        <w:t>Manjak prihoda od nefinancijske imovine na računu 92222 u iznosu od 22.572,74 EUR po izvorima financiranja sastoji se od:</w:t>
      </w:r>
    </w:p>
    <w:tbl>
      <w:tblPr>
        <w:tblStyle w:val="Reetkatablice"/>
        <w:tblW w:w="5000" w:type="pct"/>
        <w:tblLook w:val="04A0" w:firstRow="1" w:lastRow="0" w:firstColumn="1" w:lastColumn="0" w:noHBand="0" w:noVBand="1"/>
      </w:tblPr>
      <w:tblGrid>
        <w:gridCol w:w="4644"/>
        <w:gridCol w:w="4644"/>
      </w:tblGrid>
      <w:tr w:rsidR="00BE2C99">
        <w:tc>
          <w:tcPr>
            <w:tcW w:w="2497" w:type="pct"/>
            <w:vAlign w:val="center"/>
          </w:tcPr>
          <w:p w:rsidR="00BE2C99" w:rsidRDefault="005B7AC4">
            <w:r>
              <w:t>IF 31-VLASTITI PRIHODI</w:t>
            </w:r>
          </w:p>
        </w:tc>
        <w:tc>
          <w:tcPr>
            <w:tcW w:w="2497" w:type="pct"/>
            <w:vAlign w:val="center"/>
          </w:tcPr>
          <w:p w:rsidR="00BE2C99" w:rsidRDefault="005B7AC4">
            <w:r>
              <w:t>21.893,35 EUR</w:t>
            </w:r>
          </w:p>
        </w:tc>
      </w:tr>
      <w:tr w:rsidR="00BE2C99">
        <w:tc>
          <w:tcPr>
            <w:tcW w:w="2497" w:type="pct"/>
            <w:vAlign w:val="center"/>
          </w:tcPr>
          <w:p w:rsidR="00BE2C99" w:rsidRDefault="005B7AC4">
            <w:r>
              <w:t>IF 71-PRIHODI OD NAPLATE ŠTETA OSIGURANJA</w:t>
            </w:r>
          </w:p>
        </w:tc>
        <w:tc>
          <w:tcPr>
            <w:tcW w:w="2497" w:type="pct"/>
            <w:vAlign w:val="center"/>
          </w:tcPr>
          <w:p w:rsidR="00BE2C99" w:rsidRDefault="005B7AC4">
            <w:r>
              <w:t>679,39 EUR</w:t>
            </w:r>
          </w:p>
        </w:tc>
      </w:tr>
    </w:tbl>
    <w:p w:rsidR="00BE2C99" w:rsidRDefault="005B7AC4">
      <w:r>
        <w:t> </w:t>
      </w:r>
    </w:p>
    <w:p w:rsidR="00BE2C99" w:rsidRDefault="00BE2C99"/>
    <w:p w:rsidR="00BE2C99" w:rsidRDefault="005B7AC4">
      <w:pPr>
        <w:keepNext/>
        <w:spacing w:line="240" w:lineRule="auto"/>
        <w:jc w:val="center"/>
      </w:pPr>
      <w:r>
        <w:rPr>
          <w:b/>
          <w:sz w:val="28"/>
        </w:rPr>
        <w:t>Bilanca</w:t>
      </w:r>
    </w:p>
    <w:p w:rsidR="00BE2C99" w:rsidRDefault="005B7AC4">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5B7AC4">
            <w:pPr>
              <w:keepNext/>
              <w:keepLines/>
              <w:spacing w:after="0" w:line="240" w:lineRule="auto"/>
            </w:pPr>
            <w:r>
              <w:rPr>
                <w:sz w:val="18"/>
              </w:rPr>
              <w:t>024 i 02924</w:t>
            </w:r>
          </w:p>
        </w:tc>
        <w:tc>
          <w:tcPr>
            <w:tcW w:w="3180" w:type="dxa"/>
            <w:tcMar>
              <w:top w:w="0" w:type="dxa"/>
              <w:bottom w:w="0" w:type="dxa"/>
            </w:tcMar>
            <w:vAlign w:val="center"/>
          </w:tcPr>
          <w:p w:rsidR="00BE2C99" w:rsidRDefault="005B7AC4">
            <w:pPr>
              <w:keepNext/>
              <w:keepLines/>
              <w:spacing w:after="0" w:line="240" w:lineRule="auto"/>
            </w:pPr>
            <w:r>
              <w:rPr>
                <w:sz w:val="18"/>
              </w:rPr>
              <w:t>Knjige, umjetnička djela i ostale izložbene vrijednosti (šifre 0241 do 0244 -</w:t>
            </w:r>
            <w:r>
              <w:rPr>
                <w:sz w:val="18"/>
              </w:rPr>
              <w:t xml:space="preserve"> 02924)</w:t>
            </w:r>
          </w:p>
        </w:tc>
        <w:tc>
          <w:tcPr>
            <w:tcW w:w="700" w:type="dxa"/>
            <w:tcMar>
              <w:top w:w="0" w:type="dxa"/>
              <w:bottom w:w="0" w:type="dxa"/>
            </w:tcMar>
            <w:vAlign w:val="center"/>
          </w:tcPr>
          <w:p w:rsidR="00BE2C99" w:rsidRDefault="005B7AC4">
            <w:pPr>
              <w:keepNext/>
              <w:keepLines/>
              <w:spacing w:after="0" w:line="240" w:lineRule="auto"/>
            </w:pPr>
            <w:r>
              <w:rPr>
                <w:sz w:val="18"/>
              </w:rPr>
              <w:t>024 i 02924</w:t>
            </w:r>
          </w:p>
        </w:tc>
        <w:tc>
          <w:tcPr>
            <w:tcW w:w="1860" w:type="dxa"/>
            <w:tcMar>
              <w:top w:w="0" w:type="dxa"/>
              <w:bottom w:w="0" w:type="dxa"/>
            </w:tcMar>
            <w:vAlign w:val="center"/>
          </w:tcPr>
          <w:p w:rsidR="00BE2C99" w:rsidRDefault="005B7AC4">
            <w:pPr>
              <w:keepNext/>
              <w:keepLines/>
              <w:spacing w:after="0" w:line="240" w:lineRule="auto"/>
              <w:jc w:val="right"/>
            </w:pPr>
            <w:r>
              <w:rPr>
                <w:sz w:val="18"/>
              </w:rPr>
              <w:t>398,16</w:t>
            </w:r>
          </w:p>
        </w:tc>
        <w:tc>
          <w:tcPr>
            <w:tcW w:w="1860" w:type="dxa"/>
            <w:tcMar>
              <w:top w:w="0" w:type="dxa"/>
              <w:bottom w:w="0" w:type="dxa"/>
            </w:tcMar>
            <w:vAlign w:val="center"/>
          </w:tcPr>
          <w:p w:rsidR="00BE2C99" w:rsidRDefault="005B7AC4">
            <w:pPr>
              <w:keepNext/>
              <w:keepLines/>
              <w:spacing w:after="0" w:line="240" w:lineRule="auto"/>
              <w:jc w:val="right"/>
            </w:pPr>
            <w:r>
              <w:rPr>
                <w:sz w:val="18"/>
              </w:rPr>
              <w:t>930,16</w:t>
            </w:r>
          </w:p>
        </w:tc>
        <w:tc>
          <w:tcPr>
            <w:tcW w:w="700" w:type="dxa"/>
            <w:tcMar>
              <w:top w:w="0" w:type="dxa"/>
              <w:bottom w:w="0" w:type="dxa"/>
            </w:tcMar>
            <w:vAlign w:val="center"/>
          </w:tcPr>
          <w:p w:rsidR="00BE2C99" w:rsidRDefault="005B7AC4">
            <w:pPr>
              <w:keepNext/>
              <w:keepLines/>
              <w:spacing w:after="0" w:line="240" w:lineRule="auto"/>
              <w:jc w:val="right"/>
            </w:pPr>
            <w:r>
              <w:rPr>
                <w:sz w:val="18"/>
              </w:rPr>
              <w:t>233,6</w:t>
            </w:r>
          </w:p>
        </w:tc>
      </w:tr>
    </w:tbl>
    <w:p w:rsidR="00BE2C99" w:rsidRDefault="00BE2C99">
      <w:pPr>
        <w:spacing w:after="0"/>
      </w:pPr>
    </w:p>
    <w:p w:rsidR="00BE2C99" w:rsidRDefault="005B7AC4">
      <w:r>
        <w:t>Tijekom 2025. godine primljene su umjetničke slike a povodom obilježavanja 30. godina rada Zavoda</w:t>
      </w:r>
    </w:p>
    <w:p w:rsidR="00BE2C99" w:rsidRDefault="00BE2C99"/>
    <w:p w:rsidR="00BE2C99" w:rsidRDefault="005B7AC4">
      <w:pPr>
        <w:keepNext/>
        <w:spacing w:line="240" w:lineRule="auto"/>
        <w:jc w:val="center"/>
      </w:pPr>
      <w:r>
        <w:rPr>
          <w:sz w:val="28"/>
        </w:rPr>
        <w:lastRenderedPageBreak/>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5B7AC4">
            <w:pPr>
              <w:keepNext/>
              <w:keepLines/>
              <w:spacing w:after="0" w:line="240" w:lineRule="auto"/>
            </w:pPr>
            <w:r>
              <w:rPr>
                <w:sz w:val="18"/>
              </w:rPr>
              <w:t>042</w:t>
            </w:r>
          </w:p>
        </w:tc>
        <w:tc>
          <w:tcPr>
            <w:tcW w:w="3180" w:type="dxa"/>
            <w:tcMar>
              <w:top w:w="0" w:type="dxa"/>
              <w:bottom w:w="0" w:type="dxa"/>
            </w:tcMar>
            <w:vAlign w:val="center"/>
          </w:tcPr>
          <w:p w:rsidR="00BE2C99" w:rsidRDefault="005B7AC4">
            <w:pPr>
              <w:keepNext/>
              <w:keepLines/>
              <w:spacing w:after="0" w:line="240" w:lineRule="auto"/>
            </w:pPr>
            <w:r>
              <w:rPr>
                <w:sz w:val="18"/>
              </w:rPr>
              <w:t xml:space="preserve">Sitni </w:t>
            </w:r>
            <w:r>
              <w:rPr>
                <w:sz w:val="18"/>
              </w:rPr>
              <w:t xml:space="preserve">inventar i </w:t>
            </w:r>
            <w:proofErr w:type="spellStart"/>
            <w:r>
              <w:rPr>
                <w:sz w:val="18"/>
              </w:rPr>
              <w:t>autogume</w:t>
            </w:r>
            <w:proofErr w:type="spellEnd"/>
            <w:r>
              <w:rPr>
                <w:sz w:val="18"/>
              </w:rPr>
              <w:t xml:space="preserve"> u upotrebi</w:t>
            </w:r>
          </w:p>
        </w:tc>
        <w:tc>
          <w:tcPr>
            <w:tcW w:w="700" w:type="dxa"/>
            <w:tcMar>
              <w:top w:w="0" w:type="dxa"/>
              <w:bottom w:w="0" w:type="dxa"/>
            </w:tcMar>
            <w:vAlign w:val="center"/>
          </w:tcPr>
          <w:p w:rsidR="00BE2C99" w:rsidRDefault="005B7AC4">
            <w:pPr>
              <w:keepNext/>
              <w:keepLines/>
              <w:spacing w:after="0" w:line="240" w:lineRule="auto"/>
            </w:pPr>
            <w:r>
              <w:rPr>
                <w:sz w:val="18"/>
              </w:rPr>
              <w:t>042</w:t>
            </w:r>
          </w:p>
        </w:tc>
        <w:tc>
          <w:tcPr>
            <w:tcW w:w="1860" w:type="dxa"/>
            <w:tcMar>
              <w:top w:w="0" w:type="dxa"/>
              <w:bottom w:w="0" w:type="dxa"/>
            </w:tcMar>
            <w:vAlign w:val="center"/>
          </w:tcPr>
          <w:p w:rsidR="00BE2C99" w:rsidRDefault="005B7AC4">
            <w:pPr>
              <w:keepNext/>
              <w:keepLines/>
              <w:spacing w:after="0" w:line="240" w:lineRule="auto"/>
              <w:jc w:val="right"/>
            </w:pPr>
            <w:r>
              <w:rPr>
                <w:sz w:val="18"/>
              </w:rPr>
              <w:t>89.482,94</w:t>
            </w:r>
          </w:p>
        </w:tc>
        <w:tc>
          <w:tcPr>
            <w:tcW w:w="1860" w:type="dxa"/>
            <w:tcMar>
              <w:top w:w="0" w:type="dxa"/>
              <w:bottom w:w="0" w:type="dxa"/>
            </w:tcMar>
            <w:vAlign w:val="center"/>
          </w:tcPr>
          <w:p w:rsidR="00BE2C99" w:rsidRDefault="005B7AC4">
            <w:pPr>
              <w:keepNext/>
              <w:keepLines/>
              <w:spacing w:after="0" w:line="240" w:lineRule="auto"/>
              <w:jc w:val="right"/>
            </w:pPr>
            <w:r>
              <w:rPr>
                <w:sz w:val="18"/>
              </w:rPr>
              <w:t>78.437,99</w:t>
            </w:r>
          </w:p>
        </w:tc>
        <w:tc>
          <w:tcPr>
            <w:tcW w:w="700" w:type="dxa"/>
            <w:tcMar>
              <w:top w:w="0" w:type="dxa"/>
              <w:bottom w:w="0" w:type="dxa"/>
            </w:tcMar>
            <w:vAlign w:val="center"/>
          </w:tcPr>
          <w:p w:rsidR="00BE2C99" w:rsidRDefault="005B7AC4">
            <w:pPr>
              <w:keepNext/>
              <w:keepLines/>
              <w:spacing w:after="0" w:line="240" w:lineRule="auto"/>
              <w:jc w:val="right"/>
            </w:pPr>
            <w:r>
              <w:rPr>
                <w:sz w:val="18"/>
              </w:rPr>
              <w:t>87,7</w:t>
            </w:r>
          </w:p>
        </w:tc>
      </w:tr>
    </w:tbl>
    <w:p w:rsidR="00BE2C99" w:rsidRDefault="00BE2C99">
      <w:pPr>
        <w:spacing w:after="0"/>
      </w:pPr>
    </w:p>
    <w:p w:rsidR="00BE2C99" w:rsidRDefault="005B7AC4">
      <w:r>
        <w:t>Sitni inventar bilježi manju vrijednost u 2025. godini iz razloga manje potrebe za nabavkom istog.</w:t>
      </w:r>
    </w:p>
    <w:p w:rsidR="00BE2C99" w:rsidRDefault="00BE2C99"/>
    <w:p w:rsidR="00BE2C99" w:rsidRDefault="005B7AC4">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5B7AC4">
            <w:pPr>
              <w:keepNext/>
              <w:keepLines/>
              <w:spacing w:after="0" w:line="240" w:lineRule="auto"/>
            </w:pPr>
            <w:r>
              <w:rPr>
                <w:sz w:val="18"/>
              </w:rPr>
              <w:t>051</w:t>
            </w:r>
          </w:p>
        </w:tc>
        <w:tc>
          <w:tcPr>
            <w:tcW w:w="3180" w:type="dxa"/>
            <w:tcMar>
              <w:top w:w="0" w:type="dxa"/>
              <w:bottom w:w="0" w:type="dxa"/>
            </w:tcMar>
            <w:vAlign w:val="center"/>
          </w:tcPr>
          <w:p w:rsidR="00BE2C99" w:rsidRDefault="005B7AC4">
            <w:pPr>
              <w:keepNext/>
              <w:keepLines/>
              <w:spacing w:after="0" w:line="240" w:lineRule="auto"/>
            </w:pPr>
            <w:r>
              <w:rPr>
                <w:sz w:val="18"/>
              </w:rPr>
              <w:t>Građevinski objekti u pripremi</w:t>
            </w:r>
          </w:p>
        </w:tc>
        <w:tc>
          <w:tcPr>
            <w:tcW w:w="700" w:type="dxa"/>
            <w:tcMar>
              <w:top w:w="0" w:type="dxa"/>
              <w:bottom w:w="0" w:type="dxa"/>
            </w:tcMar>
            <w:vAlign w:val="center"/>
          </w:tcPr>
          <w:p w:rsidR="00BE2C99" w:rsidRDefault="005B7AC4">
            <w:pPr>
              <w:keepNext/>
              <w:keepLines/>
              <w:spacing w:after="0" w:line="240" w:lineRule="auto"/>
            </w:pPr>
            <w:r>
              <w:rPr>
                <w:sz w:val="18"/>
              </w:rPr>
              <w:t>051</w:t>
            </w:r>
          </w:p>
        </w:tc>
        <w:tc>
          <w:tcPr>
            <w:tcW w:w="1860" w:type="dxa"/>
            <w:tcMar>
              <w:top w:w="0" w:type="dxa"/>
              <w:bottom w:w="0" w:type="dxa"/>
            </w:tcMar>
            <w:vAlign w:val="center"/>
          </w:tcPr>
          <w:p w:rsidR="00BE2C99" w:rsidRDefault="005B7AC4">
            <w:pPr>
              <w:keepNext/>
              <w:keepLines/>
              <w:spacing w:after="0" w:line="240" w:lineRule="auto"/>
              <w:jc w:val="right"/>
            </w:pPr>
            <w:r>
              <w:rPr>
                <w:sz w:val="18"/>
              </w:rPr>
              <w:t>44.099,15</w:t>
            </w:r>
          </w:p>
        </w:tc>
        <w:tc>
          <w:tcPr>
            <w:tcW w:w="1860" w:type="dxa"/>
            <w:tcMar>
              <w:top w:w="0" w:type="dxa"/>
              <w:bottom w:w="0" w:type="dxa"/>
            </w:tcMar>
            <w:vAlign w:val="center"/>
          </w:tcPr>
          <w:p w:rsidR="00BE2C99" w:rsidRDefault="005B7AC4">
            <w:pPr>
              <w:keepNext/>
              <w:keepLines/>
              <w:spacing w:after="0" w:line="240" w:lineRule="auto"/>
              <w:jc w:val="right"/>
            </w:pPr>
            <w:r>
              <w:rPr>
                <w:sz w:val="18"/>
              </w:rPr>
              <w:t>0,00</w:t>
            </w:r>
          </w:p>
        </w:tc>
        <w:tc>
          <w:tcPr>
            <w:tcW w:w="700" w:type="dxa"/>
            <w:tcMar>
              <w:top w:w="0" w:type="dxa"/>
              <w:bottom w:w="0" w:type="dxa"/>
            </w:tcMar>
            <w:vAlign w:val="center"/>
          </w:tcPr>
          <w:p w:rsidR="00BE2C99" w:rsidRDefault="005B7AC4">
            <w:pPr>
              <w:keepNext/>
              <w:keepLines/>
              <w:spacing w:after="0" w:line="240" w:lineRule="auto"/>
              <w:jc w:val="right"/>
            </w:pPr>
            <w:r>
              <w:rPr>
                <w:sz w:val="18"/>
              </w:rPr>
              <w:t>0</w:t>
            </w:r>
          </w:p>
        </w:tc>
      </w:tr>
    </w:tbl>
    <w:p w:rsidR="00BE2C99" w:rsidRDefault="00BE2C99">
      <w:pPr>
        <w:spacing w:after="0"/>
      </w:pPr>
    </w:p>
    <w:p w:rsidR="00BE2C99" w:rsidRDefault="005B7AC4">
      <w:pPr>
        <w:jc w:val="both"/>
      </w:pPr>
      <w:r>
        <w:t xml:space="preserve">Na dan 1.1. 2025. godine knjiženi su građevinski objekti u pripremi iz razloga nedovršenih radova vezanih uz ugradnju </w:t>
      </w:r>
      <w:proofErr w:type="spellStart"/>
      <w:r>
        <w:t>fotonaponskih</w:t>
      </w:r>
      <w:proofErr w:type="spellEnd"/>
      <w:r>
        <w:t xml:space="preserve"> ćelija. Predmetni radovi završeni su tijekom 2025. godine.</w:t>
      </w:r>
    </w:p>
    <w:p w:rsidR="00BE2C99" w:rsidRDefault="00BE2C99"/>
    <w:p w:rsidR="00BE2C99" w:rsidRDefault="005B7AC4">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Stanje 1. sij</w:t>
            </w:r>
            <w:r>
              <w:rPr>
                <w:b/>
                <w:sz w:val="18"/>
              </w:rPr>
              <w:t>ečnja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5B7AC4">
            <w:pPr>
              <w:keepNext/>
              <w:keepLines/>
              <w:spacing w:after="0" w:line="240" w:lineRule="auto"/>
            </w:pPr>
            <w:r>
              <w:rPr>
                <w:sz w:val="18"/>
              </w:rPr>
              <w:t>129</w:t>
            </w:r>
          </w:p>
        </w:tc>
        <w:tc>
          <w:tcPr>
            <w:tcW w:w="3180" w:type="dxa"/>
            <w:tcMar>
              <w:top w:w="0" w:type="dxa"/>
              <w:bottom w:w="0" w:type="dxa"/>
            </w:tcMar>
            <w:vAlign w:val="center"/>
          </w:tcPr>
          <w:p w:rsidR="00BE2C99" w:rsidRDefault="005B7AC4">
            <w:pPr>
              <w:keepNext/>
              <w:keepLines/>
              <w:spacing w:after="0" w:line="240" w:lineRule="auto"/>
            </w:pPr>
            <w:r>
              <w:rPr>
                <w:sz w:val="18"/>
              </w:rPr>
              <w:t>Ostala potraživanja</w:t>
            </w:r>
          </w:p>
        </w:tc>
        <w:tc>
          <w:tcPr>
            <w:tcW w:w="700" w:type="dxa"/>
            <w:tcMar>
              <w:top w:w="0" w:type="dxa"/>
              <w:bottom w:w="0" w:type="dxa"/>
            </w:tcMar>
            <w:vAlign w:val="center"/>
          </w:tcPr>
          <w:p w:rsidR="00BE2C99" w:rsidRDefault="005B7AC4">
            <w:pPr>
              <w:keepNext/>
              <w:keepLines/>
              <w:spacing w:after="0" w:line="240" w:lineRule="auto"/>
            </w:pPr>
            <w:r>
              <w:rPr>
                <w:sz w:val="18"/>
              </w:rPr>
              <w:t>129</w:t>
            </w:r>
          </w:p>
        </w:tc>
        <w:tc>
          <w:tcPr>
            <w:tcW w:w="1860" w:type="dxa"/>
            <w:tcMar>
              <w:top w:w="0" w:type="dxa"/>
              <w:bottom w:w="0" w:type="dxa"/>
            </w:tcMar>
            <w:vAlign w:val="center"/>
          </w:tcPr>
          <w:p w:rsidR="00BE2C99" w:rsidRDefault="005B7AC4">
            <w:pPr>
              <w:keepNext/>
              <w:keepLines/>
              <w:spacing w:after="0" w:line="240" w:lineRule="auto"/>
              <w:jc w:val="right"/>
            </w:pPr>
            <w:r>
              <w:rPr>
                <w:sz w:val="18"/>
              </w:rPr>
              <w:t>9.004,70</w:t>
            </w:r>
          </w:p>
        </w:tc>
        <w:tc>
          <w:tcPr>
            <w:tcW w:w="1860" w:type="dxa"/>
            <w:tcMar>
              <w:top w:w="0" w:type="dxa"/>
              <w:bottom w:w="0" w:type="dxa"/>
            </w:tcMar>
            <w:vAlign w:val="center"/>
          </w:tcPr>
          <w:p w:rsidR="00BE2C99" w:rsidRDefault="005B7AC4">
            <w:pPr>
              <w:keepNext/>
              <w:keepLines/>
              <w:spacing w:after="0" w:line="240" w:lineRule="auto"/>
              <w:jc w:val="right"/>
            </w:pPr>
            <w:r>
              <w:rPr>
                <w:sz w:val="18"/>
              </w:rPr>
              <w:t>3.580,55</w:t>
            </w:r>
          </w:p>
        </w:tc>
        <w:tc>
          <w:tcPr>
            <w:tcW w:w="700" w:type="dxa"/>
            <w:tcMar>
              <w:top w:w="0" w:type="dxa"/>
              <w:bottom w:w="0" w:type="dxa"/>
            </w:tcMar>
            <w:vAlign w:val="center"/>
          </w:tcPr>
          <w:p w:rsidR="00BE2C99" w:rsidRDefault="005B7AC4">
            <w:pPr>
              <w:keepNext/>
              <w:keepLines/>
              <w:spacing w:after="0" w:line="240" w:lineRule="auto"/>
              <w:jc w:val="right"/>
            </w:pPr>
            <w:r>
              <w:rPr>
                <w:sz w:val="18"/>
              </w:rPr>
              <w:t>39,8</w:t>
            </w:r>
          </w:p>
        </w:tc>
      </w:tr>
    </w:tbl>
    <w:p w:rsidR="00BE2C99" w:rsidRDefault="00BE2C99">
      <w:pPr>
        <w:spacing w:after="0"/>
      </w:pPr>
    </w:p>
    <w:p w:rsidR="00BE2C99" w:rsidRDefault="005B7AC4">
      <w:pPr>
        <w:jc w:val="both"/>
      </w:pPr>
      <w:r>
        <w:t>Stavka ostalih potraživanja obuhvaća potraživanja od HZZO-a za refundaciju bolovanja, potraživanja za režijske troškove prema Županijskoj bolnici Čakovec te predujmove. Stanje predujmova na dan 1. siječnja 2025. iznosilo je 5.880,06 EUR, a odnosilo se na u</w:t>
      </w:r>
      <w:r>
        <w:t xml:space="preserve">platu HEP-u za priključenje </w:t>
      </w:r>
      <w:proofErr w:type="spellStart"/>
      <w:r>
        <w:t>fotonaponskog</w:t>
      </w:r>
      <w:proofErr w:type="spellEnd"/>
      <w:r>
        <w:t xml:space="preserve"> sustava na elektroenergetsku mrežu. S obzirom na to da je pripadajući račun zaprimljen tijekom 2025. godine, predujam je zatvoren, što je dovelo do smanjenja ukupnog stanja ostalih potraživanja na dan 31. prosinca </w:t>
      </w:r>
      <w:r>
        <w:t>2025. godine.</w:t>
      </w:r>
    </w:p>
    <w:p w:rsidR="00BE2C99" w:rsidRDefault="00BE2C99"/>
    <w:p w:rsidR="00BE2C99" w:rsidRDefault="005B7AC4">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5B7AC4">
            <w:pPr>
              <w:keepNext/>
              <w:keepLines/>
              <w:spacing w:after="0" w:line="240" w:lineRule="auto"/>
            </w:pPr>
            <w:r>
              <w:rPr>
                <w:sz w:val="18"/>
              </w:rPr>
              <w:t>1638</w:t>
            </w:r>
          </w:p>
        </w:tc>
        <w:tc>
          <w:tcPr>
            <w:tcW w:w="3180" w:type="dxa"/>
            <w:tcMar>
              <w:top w:w="0" w:type="dxa"/>
              <w:bottom w:w="0" w:type="dxa"/>
            </w:tcMar>
            <w:vAlign w:val="center"/>
          </w:tcPr>
          <w:p w:rsidR="00BE2C99" w:rsidRDefault="005B7AC4">
            <w:pPr>
              <w:keepNext/>
              <w:keepLines/>
              <w:spacing w:after="0" w:line="240" w:lineRule="auto"/>
            </w:pPr>
            <w:r>
              <w:rPr>
                <w:sz w:val="18"/>
              </w:rPr>
              <w:t>Potraživanja za pomoći temeljem prijenosa EU sredstava</w:t>
            </w:r>
          </w:p>
        </w:tc>
        <w:tc>
          <w:tcPr>
            <w:tcW w:w="700" w:type="dxa"/>
            <w:tcMar>
              <w:top w:w="0" w:type="dxa"/>
              <w:bottom w:w="0" w:type="dxa"/>
            </w:tcMar>
            <w:vAlign w:val="center"/>
          </w:tcPr>
          <w:p w:rsidR="00BE2C99" w:rsidRDefault="005B7AC4">
            <w:pPr>
              <w:keepNext/>
              <w:keepLines/>
              <w:spacing w:after="0" w:line="240" w:lineRule="auto"/>
            </w:pPr>
            <w:r>
              <w:rPr>
                <w:sz w:val="18"/>
              </w:rPr>
              <w:t>1638</w:t>
            </w:r>
          </w:p>
        </w:tc>
        <w:tc>
          <w:tcPr>
            <w:tcW w:w="1860" w:type="dxa"/>
            <w:tcMar>
              <w:top w:w="0" w:type="dxa"/>
              <w:bottom w:w="0" w:type="dxa"/>
            </w:tcMar>
            <w:vAlign w:val="center"/>
          </w:tcPr>
          <w:p w:rsidR="00BE2C99" w:rsidRDefault="005B7AC4">
            <w:pPr>
              <w:keepNext/>
              <w:keepLines/>
              <w:spacing w:after="0" w:line="240" w:lineRule="auto"/>
              <w:jc w:val="right"/>
            </w:pPr>
            <w:r>
              <w:rPr>
                <w:sz w:val="18"/>
              </w:rPr>
              <w:t>22.804,81</w:t>
            </w:r>
          </w:p>
        </w:tc>
        <w:tc>
          <w:tcPr>
            <w:tcW w:w="1860" w:type="dxa"/>
            <w:tcMar>
              <w:top w:w="0" w:type="dxa"/>
              <w:bottom w:w="0" w:type="dxa"/>
            </w:tcMar>
            <w:vAlign w:val="center"/>
          </w:tcPr>
          <w:p w:rsidR="00BE2C99" w:rsidRDefault="005B7AC4">
            <w:pPr>
              <w:keepNext/>
              <w:keepLines/>
              <w:spacing w:after="0" w:line="240" w:lineRule="auto"/>
              <w:jc w:val="right"/>
            </w:pPr>
            <w:r>
              <w:rPr>
                <w:sz w:val="18"/>
              </w:rPr>
              <w:t>19.695,69</w:t>
            </w:r>
          </w:p>
        </w:tc>
        <w:tc>
          <w:tcPr>
            <w:tcW w:w="700" w:type="dxa"/>
            <w:tcMar>
              <w:top w:w="0" w:type="dxa"/>
              <w:bottom w:w="0" w:type="dxa"/>
            </w:tcMar>
            <w:vAlign w:val="center"/>
          </w:tcPr>
          <w:p w:rsidR="00BE2C99" w:rsidRDefault="005B7AC4">
            <w:pPr>
              <w:keepNext/>
              <w:keepLines/>
              <w:spacing w:after="0" w:line="240" w:lineRule="auto"/>
              <w:jc w:val="right"/>
            </w:pPr>
            <w:r>
              <w:rPr>
                <w:sz w:val="18"/>
              </w:rPr>
              <w:t>86,4</w:t>
            </w:r>
          </w:p>
        </w:tc>
      </w:tr>
    </w:tbl>
    <w:p w:rsidR="00BE2C99" w:rsidRDefault="00BE2C99">
      <w:pPr>
        <w:spacing w:after="0"/>
      </w:pPr>
    </w:p>
    <w:p w:rsidR="00BE2C99" w:rsidRDefault="005B7AC4">
      <w:pPr>
        <w:jc w:val="both"/>
      </w:pPr>
      <w:r>
        <w:lastRenderedPageBreak/>
        <w:t>Navedena potraživanja odnose se na projekt EU -financiranja specijalizacija. S obzirom na to da je jedna specijalizantica završila specijalističko usavršavanje u listopadu 2025. godine, pripadajuća potraživanja na dan 31. prosinca 2025. godine sukladno tom</w:t>
      </w:r>
      <w:r>
        <w:t>e su umanjena.</w:t>
      </w:r>
    </w:p>
    <w:p w:rsidR="00BE2C99" w:rsidRDefault="00BE2C99"/>
    <w:p w:rsidR="00BE2C99" w:rsidRDefault="005B7AC4">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5B7AC4">
            <w:pPr>
              <w:keepNext/>
              <w:keepLines/>
              <w:spacing w:after="0" w:line="240" w:lineRule="auto"/>
            </w:pPr>
            <w:r>
              <w:rPr>
                <w:sz w:val="18"/>
              </w:rPr>
              <w:t>165</w:t>
            </w:r>
          </w:p>
        </w:tc>
        <w:tc>
          <w:tcPr>
            <w:tcW w:w="3180" w:type="dxa"/>
            <w:tcMar>
              <w:top w:w="0" w:type="dxa"/>
              <w:bottom w:w="0" w:type="dxa"/>
            </w:tcMar>
            <w:vAlign w:val="center"/>
          </w:tcPr>
          <w:p w:rsidR="00BE2C99" w:rsidRDefault="005B7AC4">
            <w:pPr>
              <w:keepNext/>
              <w:keepLines/>
              <w:spacing w:after="0" w:line="240" w:lineRule="auto"/>
            </w:pPr>
            <w:r>
              <w:rPr>
                <w:sz w:val="18"/>
              </w:rPr>
              <w:t>Potraživanja za upravne i administrativne pristojbe, pristojbe po posebnim propisima i naknade</w:t>
            </w:r>
          </w:p>
        </w:tc>
        <w:tc>
          <w:tcPr>
            <w:tcW w:w="700" w:type="dxa"/>
            <w:tcMar>
              <w:top w:w="0" w:type="dxa"/>
              <w:bottom w:w="0" w:type="dxa"/>
            </w:tcMar>
            <w:vAlign w:val="center"/>
          </w:tcPr>
          <w:p w:rsidR="00BE2C99" w:rsidRDefault="005B7AC4">
            <w:pPr>
              <w:keepNext/>
              <w:keepLines/>
              <w:spacing w:after="0" w:line="240" w:lineRule="auto"/>
            </w:pPr>
            <w:r>
              <w:rPr>
                <w:sz w:val="18"/>
              </w:rPr>
              <w:t>165</w:t>
            </w:r>
          </w:p>
        </w:tc>
        <w:tc>
          <w:tcPr>
            <w:tcW w:w="1860" w:type="dxa"/>
            <w:tcMar>
              <w:top w:w="0" w:type="dxa"/>
              <w:bottom w:w="0" w:type="dxa"/>
            </w:tcMar>
            <w:vAlign w:val="center"/>
          </w:tcPr>
          <w:p w:rsidR="00BE2C99" w:rsidRDefault="005B7AC4">
            <w:pPr>
              <w:keepNext/>
              <w:keepLines/>
              <w:spacing w:after="0" w:line="240" w:lineRule="auto"/>
              <w:jc w:val="right"/>
            </w:pPr>
            <w:r>
              <w:rPr>
                <w:sz w:val="18"/>
              </w:rPr>
              <w:t>30.212,72</w:t>
            </w:r>
          </w:p>
        </w:tc>
        <w:tc>
          <w:tcPr>
            <w:tcW w:w="1860" w:type="dxa"/>
            <w:tcMar>
              <w:top w:w="0" w:type="dxa"/>
              <w:bottom w:w="0" w:type="dxa"/>
            </w:tcMar>
            <w:vAlign w:val="center"/>
          </w:tcPr>
          <w:p w:rsidR="00BE2C99" w:rsidRDefault="005B7AC4">
            <w:pPr>
              <w:keepNext/>
              <w:keepLines/>
              <w:spacing w:after="0" w:line="240" w:lineRule="auto"/>
              <w:jc w:val="right"/>
            </w:pPr>
            <w:r>
              <w:rPr>
                <w:sz w:val="18"/>
              </w:rPr>
              <w:t>37.026,03</w:t>
            </w:r>
          </w:p>
        </w:tc>
        <w:tc>
          <w:tcPr>
            <w:tcW w:w="700" w:type="dxa"/>
            <w:tcMar>
              <w:top w:w="0" w:type="dxa"/>
              <w:bottom w:w="0" w:type="dxa"/>
            </w:tcMar>
            <w:vAlign w:val="center"/>
          </w:tcPr>
          <w:p w:rsidR="00BE2C99" w:rsidRDefault="005B7AC4">
            <w:pPr>
              <w:keepNext/>
              <w:keepLines/>
              <w:spacing w:after="0" w:line="240" w:lineRule="auto"/>
              <w:jc w:val="right"/>
            </w:pPr>
            <w:r>
              <w:rPr>
                <w:sz w:val="18"/>
              </w:rPr>
              <w:t>122,6</w:t>
            </w:r>
          </w:p>
        </w:tc>
      </w:tr>
    </w:tbl>
    <w:p w:rsidR="00BE2C99" w:rsidRDefault="00BE2C99">
      <w:pPr>
        <w:spacing w:after="0"/>
      </w:pPr>
    </w:p>
    <w:p w:rsidR="00BE2C99" w:rsidRDefault="005B7AC4">
      <w:r>
        <w:t>Po ovoj osnovi u 2025. godini ostvarena su veća potraživanja za odrađene mikrobiološke usluge s osnove dopunskog zdravstvenog osiguranja.</w:t>
      </w:r>
    </w:p>
    <w:p w:rsidR="00BE2C99" w:rsidRDefault="00BE2C99"/>
    <w:p w:rsidR="00BE2C99" w:rsidRDefault="005B7AC4">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5B7AC4">
            <w:pPr>
              <w:keepNext/>
              <w:keepLines/>
              <w:spacing w:after="0" w:line="240" w:lineRule="auto"/>
            </w:pPr>
            <w:r>
              <w:rPr>
                <w:sz w:val="18"/>
              </w:rPr>
              <w:t>167</w:t>
            </w:r>
          </w:p>
        </w:tc>
        <w:tc>
          <w:tcPr>
            <w:tcW w:w="3180" w:type="dxa"/>
            <w:tcMar>
              <w:top w:w="0" w:type="dxa"/>
              <w:bottom w:w="0" w:type="dxa"/>
            </w:tcMar>
            <w:vAlign w:val="center"/>
          </w:tcPr>
          <w:p w:rsidR="00BE2C99" w:rsidRDefault="005B7AC4">
            <w:pPr>
              <w:keepNext/>
              <w:keepLines/>
              <w:spacing w:after="0" w:line="240" w:lineRule="auto"/>
            </w:pPr>
            <w:r>
              <w:rPr>
                <w:sz w:val="18"/>
              </w:rPr>
              <w:t>Potraživanja proračunskih korisnika za sredstva uplaćena u nadležni proračun i za prihode od HZZO-a na temelju ugovornih obveza</w:t>
            </w:r>
          </w:p>
        </w:tc>
        <w:tc>
          <w:tcPr>
            <w:tcW w:w="700" w:type="dxa"/>
            <w:tcMar>
              <w:top w:w="0" w:type="dxa"/>
              <w:bottom w:w="0" w:type="dxa"/>
            </w:tcMar>
            <w:vAlign w:val="center"/>
          </w:tcPr>
          <w:p w:rsidR="00BE2C99" w:rsidRDefault="005B7AC4">
            <w:pPr>
              <w:keepNext/>
              <w:keepLines/>
              <w:spacing w:after="0" w:line="240" w:lineRule="auto"/>
            </w:pPr>
            <w:r>
              <w:rPr>
                <w:sz w:val="18"/>
              </w:rPr>
              <w:t>167</w:t>
            </w:r>
          </w:p>
        </w:tc>
        <w:tc>
          <w:tcPr>
            <w:tcW w:w="1860" w:type="dxa"/>
            <w:tcMar>
              <w:top w:w="0" w:type="dxa"/>
              <w:bottom w:w="0" w:type="dxa"/>
            </w:tcMar>
            <w:vAlign w:val="center"/>
          </w:tcPr>
          <w:p w:rsidR="00BE2C99" w:rsidRDefault="005B7AC4">
            <w:pPr>
              <w:keepNext/>
              <w:keepLines/>
              <w:spacing w:after="0" w:line="240" w:lineRule="auto"/>
              <w:jc w:val="right"/>
            </w:pPr>
            <w:r>
              <w:rPr>
                <w:sz w:val="18"/>
              </w:rPr>
              <w:t>226.642,51</w:t>
            </w:r>
          </w:p>
        </w:tc>
        <w:tc>
          <w:tcPr>
            <w:tcW w:w="1860" w:type="dxa"/>
            <w:tcMar>
              <w:top w:w="0" w:type="dxa"/>
              <w:bottom w:w="0" w:type="dxa"/>
            </w:tcMar>
            <w:vAlign w:val="center"/>
          </w:tcPr>
          <w:p w:rsidR="00BE2C99" w:rsidRDefault="005B7AC4">
            <w:pPr>
              <w:keepNext/>
              <w:keepLines/>
              <w:spacing w:after="0" w:line="240" w:lineRule="auto"/>
              <w:jc w:val="right"/>
            </w:pPr>
            <w:r>
              <w:rPr>
                <w:sz w:val="18"/>
              </w:rPr>
              <w:t>254.518,20</w:t>
            </w:r>
          </w:p>
        </w:tc>
        <w:tc>
          <w:tcPr>
            <w:tcW w:w="700" w:type="dxa"/>
            <w:tcMar>
              <w:top w:w="0" w:type="dxa"/>
              <w:bottom w:w="0" w:type="dxa"/>
            </w:tcMar>
            <w:vAlign w:val="center"/>
          </w:tcPr>
          <w:p w:rsidR="00BE2C99" w:rsidRDefault="005B7AC4">
            <w:pPr>
              <w:keepNext/>
              <w:keepLines/>
              <w:spacing w:after="0" w:line="240" w:lineRule="auto"/>
              <w:jc w:val="right"/>
            </w:pPr>
            <w:r>
              <w:rPr>
                <w:sz w:val="18"/>
              </w:rPr>
              <w:t>112,3</w:t>
            </w:r>
          </w:p>
        </w:tc>
      </w:tr>
    </w:tbl>
    <w:p w:rsidR="00BE2C99" w:rsidRDefault="00BE2C99">
      <w:pPr>
        <w:spacing w:after="0"/>
      </w:pPr>
    </w:p>
    <w:p w:rsidR="00BE2C99" w:rsidRDefault="005B7AC4">
      <w:pPr>
        <w:jc w:val="both"/>
      </w:pPr>
      <w:r>
        <w:t>Po ovoj osnovi u 2025. godini ostvarena su veća potraživanja prema HZZO-u zbog više odrađenih mikrobioloških usluga kao i većih ugovorenih vrijednosti (glavarine) za djelatnosti primarne zdravstvene zaštite.</w:t>
      </w:r>
    </w:p>
    <w:p w:rsidR="00BE2C99" w:rsidRDefault="00BE2C99"/>
    <w:p w:rsidR="00BE2C99" w:rsidRDefault="005B7AC4">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5B7AC4">
            <w:pPr>
              <w:keepNext/>
              <w:keepLines/>
              <w:spacing w:after="0" w:line="240" w:lineRule="auto"/>
            </w:pPr>
            <w:r>
              <w:rPr>
                <w:sz w:val="18"/>
              </w:rPr>
              <w:t>169</w:t>
            </w:r>
          </w:p>
        </w:tc>
        <w:tc>
          <w:tcPr>
            <w:tcW w:w="3180" w:type="dxa"/>
            <w:tcMar>
              <w:top w:w="0" w:type="dxa"/>
              <w:bottom w:w="0" w:type="dxa"/>
            </w:tcMar>
            <w:vAlign w:val="center"/>
          </w:tcPr>
          <w:p w:rsidR="00BE2C99" w:rsidRDefault="005B7AC4">
            <w:pPr>
              <w:keepNext/>
              <w:keepLines/>
              <w:spacing w:after="0" w:line="240" w:lineRule="auto"/>
            </w:pPr>
            <w:r>
              <w:rPr>
                <w:sz w:val="18"/>
              </w:rPr>
              <w:t>Ispravak vrijednosti potraživanja</w:t>
            </w:r>
          </w:p>
        </w:tc>
        <w:tc>
          <w:tcPr>
            <w:tcW w:w="700" w:type="dxa"/>
            <w:tcMar>
              <w:top w:w="0" w:type="dxa"/>
              <w:bottom w:w="0" w:type="dxa"/>
            </w:tcMar>
            <w:vAlign w:val="center"/>
          </w:tcPr>
          <w:p w:rsidR="00BE2C99" w:rsidRDefault="005B7AC4">
            <w:pPr>
              <w:keepNext/>
              <w:keepLines/>
              <w:spacing w:after="0" w:line="240" w:lineRule="auto"/>
            </w:pPr>
            <w:r>
              <w:rPr>
                <w:sz w:val="18"/>
              </w:rPr>
              <w:t>169</w:t>
            </w:r>
          </w:p>
        </w:tc>
        <w:tc>
          <w:tcPr>
            <w:tcW w:w="1860" w:type="dxa"/>
            <w:tcMar>
              <w:top w:w="0" w:type="dxa"/>
              <w:bottom w:w="0" w:type="dxa"/>
            </w:tcMar>
            <w:vAlign w:val="center"/>
          </w:tcPr>
          <w:p w:rsidR="00BE2C99" w:rsidRDefault="005B7AC4">
            <w:pPr>
              <w:keepNext/>
              <w:keepLines/>
              <w:spacing w:after="0" w:line="240" w:lineRule="auto"/>
              <w:jc w:val="right"/>
            </w:pPr>
            <w:r>
              <w:rPr>
                <w:sz w:val="18"/>
              </w:rPr>
              <w:t>1.723,47</w:t>
            </w:r>
          </w:p>
        </w:tc>
        <w:tc>
          <w:tcPr>
            <w:tcW w:w="1860" w:type="dxa"/>
            <w:tcMar>
              <w:top w:w="0" w:type="dxa"/>
              <w:bottom w:w="0" w:type="dxa"/>
            </w:tcMar>
            <w:vAlign w:val="center"/>
          </w:tcPr>
          <w:p w:rsidR="00BE2C99" w:rsidRDefault="005B7AC4">
            <w:pPr>
              <w:keepNext/>
              <w:keepLines/>
              <w:spacing w:after="0" w:line="240" w:lineRule="auto"/>
              <w:jc w:val="right"/>
            </w:pPr>
            <w:r>
              <w:rPr>
                <w:sz w:val="18"/>
              </w:rPr>
              <w:t>819,89</w:t>
            </w:r>
          </w:p>
        </w:tc>
        <w:tc>
          <w:tcPr>
            <w:tcW w:w="700" w:type="dxa"/>
            <w:tcMar>
              <w:top w:w="0" w:type="dxa"/>
              <w:bottom w:w="0" w:type="dxa"/>
            </w:tcMar>
            <w:vAlign w:val="center"/>
          </w:tcPr>
          <w:p w:rsidR="00BE2C99" w:rsidRDefault="005B7AC4">
            <w:pPr>
              <w:keepNext/>
              <w:keepLines/>
              <w:spacing w:after="0" w:line="240" w:lineRule="auto"/>
              <w:jc w:val="right"/>
            </w:pPr>
            <w:r>
              <w:rPr>
                <w:sz w:val="18"/>
              </w:rPr>
              <w:t>47,6</w:t>
            </w:r>
          </w:p>
        </w:tc>
      </w:tr>
    </w:tbl>
    <w:p w:rsidR="00BE2C99" w:rsidRDefault="00BE2C99">
      <w:pPr>
        <w:spacing w:after="0"/>
      </w:pPr>
    </w:p>
    <w:p w:rsidR="00BE2C99" w:rsidRDefault="005B7AC4">
      <w:r>
        <w:t>Smanjenje ispravka vrijednosti potraživanja rezultat je njihove bolje naplate u 2025. godini.</w:t>
      </w:r>
    </w:p>
    <w:p w:rsidR="00BE2C99" w:rsidRDefault="00BE2C99"/>
    <w:p w:rsidR="00BE2C99" w:rsidRDefault="005B7AC4">
      <w:pPr>
        <w:keepNext/>
        <w:spacing w:line="240" w:lineRule="auto"/>
        <w:jc w:val="center"/>
      </w:pPr>
      <w:r>
        <w:rPr>
          <w:sz w:val="28"/>
        </w:rPr>
        <w:lastRenderedPageBreak/>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Opis </w:t>
            </w:r>
            <w:r>
              <w:rPr>
                <w:b/>
                <w:sz w:val="18"/>
              </w:rPr>
              <w:t>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5B7AC4">
            <w:pPr>
              <w:keepNext/>
              <w:keepLines/>
              <w:spacing w:after="0" w:line="240" w:lineRule="auto"/>
            </w:pPr>
            <w:r>
              <w:rPr>
                <w:sz w:val="18"/>
              </w:rPr>
              <w:t>172</w:t>
            </w:r>
          </w:p>
        </w:tc>
        <w:tc>
          <w:tcPr>
            <w:tcW w:w="3180" w:type="dxa"/>
            <w:tcMar>
              <w:top w:w="0" w:type="dxa"/>
              <w:bottom w:w="0" w:type="dxa"/>
            </w:tcMar>
            <w:vAlign w:val="center"/>
          </w:tcPr>
          <w:p w:rsidR="00BE2C99" w:rsidRDefault="005B7AC4">
            <w:pPr>
              <w:keepNext/>
              <w:keepLines/>
              <w:spacing w:after="0" w:line="240" w:lineRule="auto"/>
            </w:pPr>
            <w:r>
              <w:rPr>
                <w:sz w:val="18"/>
              </w:rPr>
              <w:t>Potraživanja od prodaje proizvedene dugotrajne imovine</w:t>
            </w:r>
          </w:p>
        </w:tc>
        <w:tc>
          <w:tcPr>
            <w:tcW w:w="700" w:type="dxa"/>
            <w:tcMar>
              <w:top w:w="0" w:type="dxa"/>
              <w:bottom w:w="0" w:type="dxa"/>
            </w:tcMar>
            <w:vAlign w:val="center"/>
          </w:tcPr>
          <w:p w:rsidR="00BE2C99" w:rsidRDefault="005B7AC4">
            <w:pPr>
              <w:keepNext/>
              <w:keepLines/>
              <w:spacing w:after="0" w:line="240" w:lineRule="auto"/>
            </w:pPr>
            <w:r>
              <w:rPr>
                <w:sz w:val="18"/>
              </w:rPr>
              <w:t>172</w:t>
            </w:r>
          </w:p>
        </w:tc>
        <w:tc>
          <w:tcPr>
            <w:tcW w:w="1860" w:type="dxa"/>
            <w:tcMar>
              <w:top w:w="0" w:type="dxa"/>
              <w:bottom w:w="0" w:type="dxa"/>
            </w:tcMar>
            <w:vAlign w:val="center"/>
          </w:tcPr>
          <w:p w:rsidR="00BE2C99" w:rsidRDefault="005B7AC4">
            <w:pPr>
              <w:keepNext/>
              <w:keepLines/>
              <w:spacing w:after="0" w:line="240" w:lineRule="auto"/>
              <w:jc w:val="right"/>
            </w:pPr>
            <w:r>
              <w:rPr>
                <w:sz w:val="18"/>
              </w:rPr>
              <w:t>294,73</w:t>
            </w:r>
          </w:p>
        </w:tc>
        <w:tc>
          <w:tcPr>
            <w:tcW w:w="1860" w:type="dxa"/>
            <w:tcMar>
              <w:top w:w="0" w:type="dxa"/>
              <w:bottom w:w="0" w:type="dxa"/>
            </w:tcMar>
            <w:vAlign w:val="center"/>
          </w:tcPr>
          <w:p w:rsidR="00BE2C99" w:rsidRDefault="005B7AC4">
            <w:pPr>
              <w:keepNext/>
              <w:keepLines/>
              <w:spacing w:after="0" w:line="240" w:lineRule="auto"/>
              <w:jc w:val="right"/>
            </w:pPr>
            <w:r>
              <w:rPr>
                <w:sz w:val="18"/>
              </w:rPr>
              <w:t>225,89</w:t>
            </w:r>
          </w:p>
        </w:tc>
        <w:tc>
          <w:tcPr>
            <w:tcW w:w="700" w:type="dxa"/>
            <w:tcMar>
              <w:top w:w="0" w:type="dxa"/>
              <w:bottom w:w="0" w:type="dxa"/>
            </w:tcMar>
            <w:vAlign w:val="center"/>
          </w:tcPr>
          <w:p w:rsidR="00BE2C99" w:rsidRDefault="005B7AC4">
            <w:pPr>
              <w:keepNext/>
              <w:keepLines/>
              <w:spacing w:after="0" w:line="240" w:lineRule="auto"/>
              <w:jc w:val="right"/>
            </w:pPr>
            <w:r>
              <w:rPr>
                <w:sz w:val="18"/>
              </w:rPr>
              <w:t>76,6</w:t>
            </w:r>
          </w:p>
        </w:tc>
      </w:tr>
    </w:tbl>
    <w:p w:rsidR="00BE2C99" w:rsidRDefault="00BE2C99">
      <w:pPr>
        <w:spacing w:after="0"/>
      </w:pPr>
    </w:p>
    <w:p w:rsidR="00BE2C99" w:rsidRDefault="005B7AC4">
      <w:r>
        <w:t>Potraživanja od prodaje proizvedene dugotrajne imovine odnose se na otkup stanova te se ista smanjuju svake godine otplatom duga. </w:t>
      </w:r>
    </w:p>
    <w:p w:rsidR="00BE2C99" w:rsidRDefault="00BE2C99"/>
    <w:p w:rsidR="00BE2C99" w:rsidRDefault="005B7AC4">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5B7AC4">
            <w:pPr>
              <w:keepNext/>
              <w:keepLines/>
              <w:spacing w:after="0" w:line="240" w:lineRule="auto"/>
            </w:pPr>
            <w:r>
              <w:rPr>
                <w:sz w:val="18"/>
              </w:rPr>
              <w:t>231</w:t>
            </w:r>
          </w:p>
        </w:tc>
        <w:tc>
          <w:tcPr>
            <w:tcW w:w="3180" w:type="dxa"/>
            <w:tcMar>
              <w:top w:w="0" w:type="dxa"/>
              <w:bottom w:w="0" w:type="dxa"/>
            </w:tcMar>
            <w:vAlign w:val="center"/>
          </w:tcPr>
          <w:p w:rsidR="00BE2C99" w:rsidRDefault="005B7AC4">
            <w:pPr>
              <w:keepNext/>
              <w:keepLines/>
              <w:spacing w:after="0" w:line="240" w:lineRule="auto"/>
            </w:pPr>
            <w:r>
              <w:rPr>
                <w:sz w:val="18"/>
              </w:rPr>
              <w:t xml:space="preserve">Obveze za </w:t>
            </w:r>
            <w:r>
              <w:rPr>
                <w:sz w:val="18"/>
              </w:rPr>
              <w:t>zaposlene</w:t>
            </w:r>
          </w:p>
        </w:tc>
        <w:tc>
          <w:tcPr>
            <w:tcW w:w="700" w:type="dxa"/>
            <w:tcMar>
              <w:top w:w="0" w:type="dxa"/>
              <w:bottom w:w="0" w:type="dxa"/>
            </w:tcMar>
            <w:vAlign w:val="center"/>
          </w:tcPr>
          <w:p w:rsidR="00BE2C99" w:rsidRDefault="005B7AC4">
            <w:pPr>
              <w:keepNext/>
              <w:keepLines/>
              <w:spacing w:after="0" w:line="240" w:lineRule="auto"/>
            </w:pPr>
            <w:r>
              <w:rPr>
                <w:sz w:val="18"/>
              </w:rPr>
              <w:t>231</w:t>
            </w:r>
          </w:p>
        </w:tc>
        <w:tc>
          <w:tcPr>
            <w:tcW w:w="1860" w:type="dxa"/>
            <w:tcMar>
              <w:top w:w="0" w:type="dxa"/>
              <w:bottom w:w="0" w:type="dxa"/>
            </w:tcMar>
            <w:vAlign w:val="center"/>
          </w:tcPr>
          <w:p w:rsidR="00BE2C99" w:rsidRDefault="005B7AC4">
            <w:pPr>
              <w:keepNext/>
              <w:keepLines/>
              <w:spacing w:after="0" w:line="240" w:lineRule="auto"/>
              <w:jc w:val="right"/>
            </w:pPr>
            <w:r>
              <w:rPr>
                <w:sz w:val="18"/>
              </w:rPr>
              <w:t>213.339,39</w:t>
            </w:r>
          </w:p>
        </w:tc>
        <w:tc>
          <w:tcPr>
            <w:tcW w:w="1860" w:type="dxa"/>
            <w:tcMar>
              <w:top w:w="0" w:type="dxa"/>
              <w:bottom w:w="0" w:type="dxa"/>
            </w:tcMar>
            <w:vAlign w:val="center"/>
          </w:tcPr>
          <w:p w:rsidR="00BE2C99" w:rsidRDefault="005B7AC4">
            <w:pPr>
              <w:keepNext/>
              <w:keepLines/>
              <w:spacing w:after="0" w:line="240" w:lineRule="auto"/>
              <w:jc w:val="right"/>
            </w:pPr>
            <w:r>
              <w:rPr>
                <w:sz w:val="18"/>
              </w:rPr>
              <w:t>242.515,97</w:t>
            </w:r>
          </w:p>
        </w:tc>
        <w:tc>
          <w:tcPr>
            <w:tcW w:w="700" w:type="dxa"/>
            <w:tcMar>
              <w:top w:w="0" w:type="dxa"/>
              <w:bottom w:w="0" w:type="dxa"/>
            </w:tcMar>
            <w:vAlign w:val="center"/>
          </w:tcPr>
          <w:p w:rsidR="00BE2C99" w:rsidRDefault="005B7AC4">
            <w:pPr>
              <w:keepNext/>
              <w:keepLines/>
              <w:spacing w:after="0" w:line="240" w:lineRule="auto"/>
              <w:jc w:val="right"/>
            </w:pPr>
            <w:r>
              <w:rPr>
                <w:sz w:val="18"/>
              </w:rPr>
              <w:t>113,7</w:t>
            </w:r>
          </w:p>
        </w:tc>
      </w:tr>
    </w:tbl>
    <w:p w:rsidR="00BE2C99" w:rsidRDefault="00BE2C99">
      <w:pPr>
        <w:spacing w:after="0"/>
      </w:pPr>
    </w:p>
    <w:p w:rsidR="00BE2C99" w:rsidRDefault="005B7AC4">
      <w:pPr>
        <w:jc w:val="both"/>
      </w:pPr>
      <w:r>
        <w:t>Veće obveze od zaposlenih uzrokovane  su prvenstveno zakonskim povećanjem osnovice u dva navrata (po 3 % u veljači i rujnu 2025. godine). Dodatni razlog povećanja obveza je primjena nove Uredbe o koeficijentima u javnim službama iz ožujka 2024. godine, koj</w:t>
      </w:r>
      <w:r>
        <w:t>a je donijela značajno povoljnije koeficijente za izračun plaća djelatnika, čiji se puni fiskalni učinak na godišnjoj razini najjasnije očituje u 2025. godini.</w:t>
      </w:r>
    </w:p>
    <w:p w:rsidR="00BE2C99" w:rsidRDefault="00BE2C99"/>
    <w:p w:rsidR="00BE2C99" w:rsidRDefault="005B7AC4">
      <w:pPr>
        <w:keepNext/>
        <w:spacing w:line="240" w:lineRule="auto"/>
        <w:jc w:val="center"/>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5B7AC4">
            <w:pPr>
              <w:keepNext/>
              <w:keepLines/>
              <w:spacing w:after="0" w:line="240" w:lineRule="auto"/>
            </w:pPr>
            <w:r>
              <w:rPr>
                <w:sz w:val="18"/>
              </w:rPr>
              <w:t>232</w:t>
            </w:r>
          </w:p>
        </w:tc>
        <w:tc>
          <w:tcPr>
            <w:tcW w:w="3180" w:type="dxa"/>
            <w:tcMar>
              <w:top w:w="0" w:type="dxa"/>
              <w:bottom w:w="0" w:type="dxa"/>
            </w:tcMar>
            <w:vAlign w:val="center"/>
          </w:tcPr>
          <w:p w:rsidR="00BE2C99" w:rsidRDefault="005B7AC4">
            <w:pPr>
              <w:keepNext/>
              <w:keepLines/>
              <w:spacing w:after="0" w:line="240" w:lineRule="auto"/>
            </w:pPr>
            <w:r>
              <w:rPr>
                <w:sz w:val="18"/>
              </w:rPr>
              <w:t>Obveze za materijalne rashode</w:t>
            </w:r>
          </w:p>
        </w:tc>
        <w:tc>
          <w:tcPr>
            <w:tcW w:w="700" w:type="dxa"/>
            <w:tcMar>
              <w:top w:w="0" w:type="dxa"/>
              <w:bottom w:w="0" w:type="dxa"/>
            </w:tcMar>
            <w:vAlign w:val="center"/>
          </w:tcPr>
          <w:p w:rsidR="00BE2C99" w:rsidRDefault="005B7AC4">
            <w:pPr>
              <w:keepNext/>
              <w:keepLines/>
              <w:spacing w:after="0" w:line="240" w:lineRule="auto"/>
            </w:pPr>
            <w:r>
              <w:rPr>
                <w:sz w:val="18"/>
              </w:rPr>
              <w:t>232</w:t>
            </w:r>
          </w:p>
        </w:tc>
        <w:tc>
          <w:tcPr>
            <w:tcW w:w="1860" w:type="dxa"/>
            <w:tcMar>
              <w:top w:w="0" w:type="dxa"/>
              <w:bottom w:w="0" w:type="dxa"/>
            </w:tcMar>
            <w:vAlign w:val="center"/>
          </w:tcPr>
          <w:p w:rsidR="00BE2C99" w:rsidRDefault="005B7AC4">
            <w:pPr>
              <w:keepNext/>
              <w:keepLines/>
              <w:spacing w:after="0" w:line="240" w:lineRule="auto"/>
              <w:jc w:val="right"/>
            </w:pPr>
            <w:r>
              <w:rPr>
                <w:sz w:val="18"/>
              </w:rPr>
              <w:t>40.593,34</w:t>
            </w:r>
          </w:p>
        </w:tc>
        <w:tc>
          <w:tcPr>
            <w:tcW w:w="1860" w:type="dxa"/>
            <w:tcMar>
              <w:top w:w="0" w:type="dxa"/>
              <w:bottom w:w="0" w:type="dxa"/>
            </w:tcMar>
            <w:vAlign w:val="center"/>
          </w:tcPr>
          <w:p w:rsidR="00BE2C99" w:rsidRDefault="005B7AC4">
            <w:pPr>
              <w:keepNext/>
              <w:keepLines/>
              <w:spacing w:after="0" w:line="240" w:lineRule="auto"/>
              <w:jc w:val="right"/>
            </w:pPr>
            <w:r>
              <w:rPr>
                <w:sz w:val="18"/>
              </w:rPr>
              <w:t>30.541,74</w:t>
            </w:r>
          </w:p>
        </w:tc>
        <w:tc>
          <w:tcPr>
            <w:tcW w:w="700" w:type="dxa"/>
            <w:tcMar>
              <w:top w:w="0" w:type="dxa"/>
              <w:bottom w:w="0" w:type="dxa"/>
            </w:tcMar>
            <w:vAlign w:val="center"/>
          </w:tcPr>
          <w:p w:rsidR="00BE2C99" w:rsidRDefault="005B7AC4">
            <w:pPr>
              <w:keepNext/>
              <w:keepLines/>
              <w:spacing w:after="0" w:line="240" w:lineRule="auto"/>
              <w:jc w:val="right"/>
            </w:pPr>
            <w:r>
              <w:rPr>
                <w:sz w:val="18"/>
              </w:rPr>
              <w:t>75,2</w:t>
            </w:r>
          </w:p>
        </w:tc>
      </w:tr>
    </w:tbl>
    <w:p w:rsidR="00BE2C99" w:rsidRDefault="00BE2C99">
      <w:pPr>
        <w:spacing w:after="0"/>
      </w:pPr>
    </w:p>
    <w:p w:rsidR="00BE2C99" w:rsidRDefault="005B7AC4">
      <w:r>
        <w:t>Obveze za materijalne rashode rezultat su trenutka nabave.</w:t>
      </w:r>
    </w:p>
    <w:p w:rsidR="00BE2C99" w:rsidRDefault="00BE2C99"/>
    <w:p w:rsidR="00BE2C99" w:rsidRDefault="005B7AC4">
      <w:pPr>
        <w:keepNext/>
        <w:spacing w:line="240" w:lineRule="auto"/>
        <w:jc w:val="center"/>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5B7AC4">
            <w:pPr>
              <w:keepNext/>
              <w:keepLines/>
              <w:spacing w:after="0" w:line="240" w:lineRule="auto"/>
            </w:pPr>
            <w:r>
              <w:rPr>
                <w:sz w:val="18"/>
              </w:rPr>
              <w:t>239</w:t>
            </w:r>
          </w:p>
        </w:tc>
        <w:tc>
          <w:tcPr>
            <w:tcW w:w="3180" w:type="dxa"/>
            <w:tcMar>
              <w:top w:w="0" w:type="dxa"/>
              <w:bottom w:w="0" w:type="dxa"/>
            </w:tcMar>
            <w:vAlign w:val="center"/>
          </w:tcPr>
          <w:p w:rsidR="00BE2C99" w:rsidRDefault="005B7AC4">
            <w:pPr>
              <w:keepNext/>
              <w:keepLines/>
              <w:spacing w:after="0" w:line="240" w:lineRule="auto"/>
            </w:pPr>
            <w:r>
              <w:rPr>
                <w:sz w:val="18"/>
              </w:rPr>
              <w:t>Ostale tekuće</w:t>
            </w:r>
            <w:r>
              <w:rPr>
                <w:sz w:val="18"/>
              </w:rPr>
              <w:t xml:space="preserve"> obveze</w:t>
            </w:r>
          </w:p>
        </w:tc>
        <w:tc>
          <w:tcPr>
            <w:tcW w:w="700" w:type="dxa"/>
            <w:tcMar>
              <w:top w:w="0" w:type="dxa"/>
              <w:bottom w:w="0" w:type="dxa"/>
            </w:tcMar>
            <w:vAlign w:val="center"/>
          </w:tcPr>
          <w:p w:rsidR="00BE2C99" w:rsidRDefault="005B7AC4">
            <w:pPr>
              <w:keepNext/>
              <w:keepLines/>
              <w:spacing w:after="0" w:line="240" w:lineRule="auto"/>
            </w:pPr>
            <w:r>
              <w:rPr>
                <w:sz w:val="18"/>
              </w:rPr>
              <w:t>239</w:t>
            </w:r>
          </w:p>
        </w:tc>
        <w:tc>
          <w:tcPr>
            <w:tcW w:w="1860" w:type="dxa"/>
            <w:tcMar>
              <w:top w:w="0" w:type="dxa"/>
              <w:bottom w:w="0" w:type="dxa"/>
            </w:tcMar>
            <w:vAlign w:val="center"/>
          </w:tcPr>
          <w:p w:rsidR="00BE2C99" w:rsidRDefault="005B7AC4">
            <w:pPr>
              <w:keepNext/>
              <w:keepLines/>
              <w:spacing w:after="0" w:line="240" w:lineRule="auto"/>
              <w:jc w:val="right"/>
            </w:pPr>
            <w:r>
              <w:rPr>
                <w:sz w:val="18"/>
              </w:rPr>
              <w:t>7.948,91</w:t>
            </w:r>
          </w:p>
        </w:tc>
        <w:tc>
          <w:tcPr>
            <w:tcW w:w="1860" w:type="dxa"/>
            <w:tcMar>
              <w:top w:w="0" w:type="dxa"/>
              <w:bottom w:w="0" w:type="dxa"/>
            </w:tcMar>
            <w:vAlign w:val="center"/>
          </w:tcPr>
          <w:p w:rsidR="00BE2C99" w:rsidRDefault="005B7AC4">
            <w:pPr>
              <w:keepNext/>
              <w:keepLines/>
              <w:spacing w:after="0" w:line="240" w:lineRule="auto"/>
              <w:jc w:val="right"/>
            </w:pPr>
            <w:r>
              <w:rPr>
                <w:sz w:val="18"/>
              </w:rPr>
              <w:t>13.082,51</w:t>
            </w:r>
          </w:p>
        </w:tc>
        <w:tc>
          <w:tcPr>
            <w:tcW w:w="700" w:type="dxa"/>
            <w:tcMar>
              <w:top w:w="0" w:type="dxa"/>
              <w:bottom w:w="0" w:type="dxa"/>
            </w:tcMar>
            <w:vAlign w:val="center"/>
          </w:tcPr>
          <w:p w:rsidR="00BE2C99" w:rsidRDefault="005B7AC4">
            <w:pPr>
              <w:keepNext/>
              <w:keepLines/>
              <w:spacing w:after="0" w:line="240" w:lineRule="auto"/>
              <w:jc w:val="right"/>
            </w:pPr>
            <w:r>
              <w:rPr>
                <w:sz w:val="18"/>
              </w:rPr>
              <w:t>164,6</w:t>
            </w:r>
          </w:p>
        </w:tc>
      </w:tr>
    </w:tbl>
    <w:p w:rsidR="00BE2C99" w:rsidRDefault="00BE2C99">
      <w:pPr>
        <w:spacing w:after="0"/>
      </w:pPr>
    </w:p>
    <w:p w:rsidR="00BE2C99" w:rsidRDefault="005B7AC4">
      <w:r>
        <w:t>Veće ostale tekuće obveze u 2025. godini odnose se na veću obvezu uplate PDV-a.</w:t>
      </w:r>
    </w:p>
    <w:p w:rsidR="00BE2C99" w:rsidRDefault="00BE2C99"/>
    <w:p w:rsidR="00BE2C99" w:rsidRDefault="005B7AC4">
      <w:pPr>
        <w:keepNext/>
        <w:spacing w:line="240" w:lineRule="auto"/>
        <w:jc w:val="center"/>
      </w:pPr>
      <w:r>
        <w:rPr>
          <w:sz w:val="28"/>
        </w:rPr>
        <w:lastRenderedPageBreak/>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5B7AC4">
            <w:pPr>
              <w:keepNext/>
              <w:keepLines/>
              <w:spacing w:after="0" w:line="240" w:lineRule="auto"/>
            </w:pPr>
            <w:r>
              <w:rPr>
                <w:sz w:val="18"/>
              </w:rPr>
              <w:t>245</w:t>
            </w:r>
          </w:p>
        </w:tc>
        <w:tc>
          <w:tcPr>
            <w:tcW w:w="3180" w:type="dxa"/>
            <w:tcMar>
              <w:top w:w="0" w:type="dxa"/>
              <w:bottom w:w="0" w:type="dxa"/>
            </w:tcMar>
            <w:vAlign w:val="center"/>
          </w:tcPr>
          <w:p w:rsidR="00BE2C99" w:rsidRDefault="005B7AC4">
            <w:pPr>
              <w:keepNext/>
              <w:keepLines/>
              <w:spacing w:after="0" w:line="240" w:lineRule="auto"/>
            </w:pPr>
            <w:r>
              <w:rPr>
                <w:sz w:val="18"/>
              </w:rPr>
              <w:t xml:space="preserve">Obveze za dodatna ulaganja na </w:t>
            </w:r>
            <w:r>
              <w:rPr>
                <w:sz w:val="18"/>
              </w:rPr>
              <w:t>nefinancijskoj imovini</w:t>
            </w:r>
          </w:p>
        </w:tc>
        <w:tc>
          <w:tcPr>
            <w:tcW w:w="700" w:type="dxa"/>
            <w:tcMar>
              <w:top w:w="0" w:type="dxa"/>
              <w:bottom w:w="0" w:type="dxa"/>
            </w:tcMar>
            <w:vAlign w:val="center"/>
          </w:tcPr>
          <w:p w:rsidR="00BE2C99" w:rsidRDefault="005B7AC4">
            <w:pPr>
              <w:keepNext/>
              <w:keepLines/>
              <w:spacing w:after="0" w:line="240" w:lineRule="auto"/>
            </w:pPr>
            <w:r>
              <w:rPr>
                <w:sz w:val="18"/>
              </w:rPr>
              <w:t>245</w:t>
            </w:r>
          </w:p>
        </w:tc>
        <w:tc>
          <w:tcPr>
            <w:tcW w:w="1860" w:type="dxa"/>
            <w:tcMar>
              <w:top w:w="0" w:type="dxa"/>
              <w:bottom w:w="0" w:type="dxa"/>
            </w:tcMar>
            <w:vAlign w:val="center"/>
          </w:tcPr>
          <w:p w:rsidR="00BE2C99" w:rsidRDefault="005B7AC4">
            <w:pPr>
              <w:keepNext/>
              <w:keepLines/>
              <w:spacing w:after="0" w:line="240" w:lineRule="auto"/>
              <w:jc w:val="right"/>
            </w:pPr>
            <w:r>
              <w:rPr>
                <w:sz w:val="18"/>
              </w:rPr>
              <w:t>45.210,15</w:t>
            </w:r>
          </w:p>
        </w:tc>
        <w:tc>
          <w:tcPr>
            <w:tcW w:w="1860" w:type="dxa"/>
            <w:tcMar>
              <w:top w:w="0" w:type="dxa"/>
              <w:bottom w:w="0" w:type="dxa"/>
            </w:tcMar>
            <w:vAlign w:val="center"/>
          </w:tcPr>
          <w:p w:rsidR="00BE2C99" w:rsidRDefault="005B7AC4">
            <w:pPr>
              <w:keepNext/>
              <w:keepLines/>
              <w:spacing w:after="0" w:line="240" w:lineRule="auto"/>
              <w:jc w:val="right"/>
            </w:pPr>
            <w:r>
              <w:rPr>
                <w:sz w:val="18"/>
              </w:rPr>
              <w:t>0,00</w:t>
            </w:r>
          </w:p>
        </w:tc>
        <w:tc>
          <w:tcPr>
            <w:tcW w:w="700" w:type="dxa"/>
            <w:tcMar>
              <w:top w:w="0" w:type="dxa"/>
              <w:bottom w:w="0" w:type="dxa"/>
            </w:tcMar>
            <w:vAlign w:val="center"/>
          </w:tcPr>
          <w:p w:rsidR="00BE2C99" w:rsidRDefault="005B7AC4">
            <w:pPr>
              <w:keepNext/>
              <w:keepLines/>
              <w:spacing w:after="0" w:line="240" w:lineRule="auto"/>
              <w:jc w:val="right"/>
            </w:pPr>
            <w:r>
              <w:rPr>
                <w:sz w:val="18"/>
              </w:rPr>
              <w:t>0</w:t>
            </w:r>
          </w:p>
        </w:tc>
      </w:tr>
    </w:tbl>
    <w:p w:rsidR="00BE2C99" w:rsidRDefault="00BE2C99">
      <w:pPr>
        <w:spacing w:after="0"/>
      </w:pPr>
    </w:p>
    <w:p w:rsidR="00BE2C99" w:rsidRDefault="005B7AC4">
      <w:r>
        <w:t xml:space="preserve">Zbog radova na građevinskom objektu-ugradnja </w:t>
      </w:r>
      <w:proofErr w:type="spellStart"/>
      <w:r>
        <w:t>fotonaponskih</w:t>
      </w:r>
      <w:proofErr w:type="spellEnd"/>
      <w:r>
        <w:t xml:space="preserve"> ćelija na dan 1.1.2025. godine zabilježena je obveza za dodatna ulaganja na nefinancijskoj imovini.</w:t>
      </w:r>
    </w:p>
    <w:p w:rsidR="00BE2C99" w:rsidRDefault="00BE2C99"/>
    <w:p w:rsidR="00BE2C99" w:rsidRDefault="005B7AC4">
      <w:pPr>
        <w:keepNext/>
        <w:spacing w:line="240" w:lineRule="auto"/>
        <w:jc w:val="center"/>
      </w:pPr>
      <w:r>
        <w:rPr>
          <w:sz w:val="28"/>
        </w:rPr>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5B7AC4">
            <w:pPr>
              <w:keepNext/>
              <w:keepLines/>
              <w:spacing w:after="0" w:line="240" w:lineRule="auto"/>
            </w:pPr>
            <w:r>
              <w:rPr>
                <w:sz w:val="18"/>
              </w:rPr>
              <w:t>292</w:t>
            </w:r>
          </w:p>
        </w:tc>
        <w:tc>
          <w:tcPr>
            <w:tcW w:w="3180" w:type="dxa"/>
            <w:tcMar>
              <w:top w:w="0" w:type="dxa"/>
              <w:bottom w:w="0" w:type="dxa"/>
            </w:tcMar>
            <w:vAlign w:val="center"/>
          </w:tcPr>
          <w:p w:rsidR="00BE2C99" w:rsidRDefault="005B7AC4">
            <w:pPr>
              <w:keepNext/>
              <w:keepLines/>
              <w:spacing w:after="0" w:line="240" w:lineRule="auto"/>
            </w:pPr>
            <w:r>
              <w:rPr>
                <w:sz w:val="18"/>
              </w:rPr>
              <w:t>Naplaćeni prihodi budućih razdoblja</w:t>
            </w:r>
          </w:p>
        </w:tc>
        <w:tc>
          <w:tcPr>
            <w:tcW w:w="700" w:type="dxa"/>
            <w:tcMar>
              <w:top w:w="0" w:type="dxa"/>
              <w:bottom w:w="0" w:type="dxa"/>
            </w:tcMar>
            <w:vAlign w:val="center"/>
          </w:tcPr>
          <w:p w:rsidR="00BE2C99" w:rsidRDefault="005B7AC4">
            <w:pPr>
              <w:keepNext/>
              <w:keepLines/>
              <w:spacing w:after="0" w:line="240" w:lineRule="auto"/>
            </w:pPr>
            <w:r>
              <w:rPr>
                <w:sz w:val="18"/>
              </w:rPr>
              <w:t>292</w:t>
            </w:r>
          </w:p>
        </w:tc>
        <w:tc>
          <w:tcPr>
            <w:tcW w:w="1860" w:type="dxa"/>
            <w:tcMar>
              <w:top w:w="0" w:type="dxa"/>
              <w:bottom w:w="0" w:type="dxa"/>
            </w:tcMar>
            <w:vAlign w:val="center"/>
          </w:tcPr>
          <w:p w:rsidR="00BE2C99" w:rsidRDefault="005B7AC4">
            <w:pPr>
              <w:keepNext/>
              <w:keepLines/>
              <w:spacing w:after="0" w:line="240" w:lineRule="auto"/>
              <w:jc w:val="right"/>
            </w:pPr>
            <w:r>
              <w:rPr>
                <w:sz w:val="18"/>
              </w:rPr>
              <w:t>268,96</w:t>
            </w:r>
          </w:p>
        </w:tc>
        <w:tc>
          <w:tcPr>
            <w:tcW w:w="1860" w:type="dxa"/>
            <w:tcMar>
              <w:top w:w="0" w:type="dxa"/>
              <w:bottom w:w="0" w:type="dxa"/>
            </w:tcMar>
            <w:vAlign w:val="center"/>
          </w:tcPr>
          <w:p w:rsidR="00BE2C99" w:rsidRDefault="005B7AC4">
            <w:pPr>
              <w:keepNext/>
              <w:keepLines/>
              <w:spacing w:after="0" w:line="240" w:lineRule="auto"/>
              <w:jc w:val="right"/>
            </w:pPr>
            <w:r>
              <w:rPr>
                <w:sz w:val="18"/>
              </w:rPr>
              <w:t>135,26</w:t>
            </w:r>
          </w:p>
        </w:tc>
        <w:tc>
          <w:tcPr>
            <w:tcW w:w="700" w:type="dxa"/>
            <w:tcMar>
              <w:top w:w="0" w:type="dxa"/>
              <w:bottom w:w="0" w:type="dxa"/>
            </w:tcMar>
            <w:vAlign w:val="center"/>
          </w:tcPr>
          <w:p w:rsidR="00BE2C99" w:rsidRDefault="005B7AC4">
            <w:pPr>
              <w:keepNext/>
              <w:keepLines/>
              <w:spacing w:after="0" w:line="240" w:lineRule="auto"/>
              <w:jc w:val="right"/>
            </w:pPr>
            <w:r>
              <w:rPr>
                <w:sz w:val="18"/>
              </w:rPr>
              <w:t>50,3</w:t>
            </w:r>
          </w:p>
        </w:tc>
      </w:tr>
    </w:tbl>
    <w:p w:rsidR="00BE2C99" w:rsidRDefault="00BE2C99">
      <w:pPr>
        <w:spacing w:after="0"/>
      </w:pPr>
    </w:p>
    <w:p w:rsidR="00BE2C99" w:rsidRDefault="005B7AC4">
      <w:pPr>
        <w:jc w:val="both"/>
      </w:pPr>
      <w:r>
        <w:t>Odgođeno priznavanje prihoda (prihodi budućih razdoblja) odnosi se na uplaćene ponude za usluge koje nisu izvršene do 31. prosinca 2025. godine. U usporedbi s 2024. godinom, zabilježen je manji iznos takvih uplata, što ukazuje na  manji broj predujmova kra</w:t>
      </w:r>
      <w:r>
        <w:t>jem godine.</w:t>
      </w:r>
    </w:p>
    <w:p w:rsidR="00BE2C99" w:rsidRDefault="005B7AC4">
      <w:r>
        <w:t> </w:t>
      </w:r>
    </w:p>
    <w:p w:rsidR="00BE2C99" w:rsidRDefault="005B7AC4">
      <w:r>
        <w:t> </w:t>
      </w:r>
    </w:p>
    <w:p w:rsidR="00BE2C99" w:rsidRDefault="00BE2C99"/>
    <w:p w:rsidR="00BE2C99" w:rsidRDefault="005B7AC4">
      <w:pPr>
        <w:keepNext/>
        <w:spacing w:line="240" w:lineRule="auto"/>
        <w:jc w:val="center"/>
      </w:pPr>
      <w:r>
        <w:rPr>
          <w:sz w:val="28"/>
        </w:rPr>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5B7AC4">
            <w:pPr>
              <w:keepNext/>
              <w:keepLines/>
              <w:spacing w:after="0" w:line="240" w:lineRule="auto"/>
            </w:pPr>
            <w:r>
              <w:rPr>
                <w:sz w:val="18"/>
              </w:rPr>
              <w:t>922</w:t>
            </w:r>
          </w:p>
        </w:tc>
        <w:tc>
          <w:tcPr>
            <w:tcW w:w="3180" w:type="dxa"/>
            <w:tcMar>
              <w:top w:w="0" w:type="dxa"/>
              <w:bottom w:w="0" w:type="dxa"/>
            </w:tcMar>
            <w:vAlign w:val="center"/>
          </w:tcPr>
          <w:p w:rsidR="00BE2C99" w:rsidRDefault="005B7AC4">
            <w:pPr>
              <w:keepNext/>
              <w:keepLines/>
              <w:spacing w:after="0" w:line="240" w:lineRule="auto"/>
            </w:pPr>
            <w:r>
              <w:rPr>
                <w:sz w:val="18"/>
              </w:rPr>
              <w:t>Rezultat - višak/manjak (šifre 9221-9222)</w:t>
            </w:r>
          </w:p>
        </w:tc>
        <w:tc>
          <w:tcPr>
            <w:tcW w:w="700" w:type="dxa"/>
            <w:tcMar>
              <w:top w:w="0" w:type="dxa"/>
              <w:bottom w:w="0" w:type="dxa"/>
            </w:tcMar>
            <w:vAlign w:val="center"/>
          </w:tcPr>
          <w:p w:rsidR="00BE2C99" w:rsidRDefault="005B7AC4">
            <w:pPr>
              <w:keepNext/>
              <w:keepLines/>
              <w:spacing w:after="0" w:line="240" w:lineRule="auto"/>
            </w:pPr>
            <w:r>
              <w:rPr>
                <w:sz w:val="18"/>
              </w:rPr>
              <w:t>922</w:t>
            </w:r>
          </w:p>
        </w:tc>
        <w:tc>
          <w:tcPr>
            <w:tcW w:w="1860" w:type="dxa"/>
            <w:tcMar>
              <w:top w:w="0" w:type="dxa"/>
              <w:bottom w:w="0" w:type="dxa"/>
            </w:tcMar>
            <w:vAlign w:val="center"/>
          </w:tcPr>
          <w:p w:rsidR="00BE2C99" w:rsidRDefault="005B7AC4">
            <w:pPr>
              <w:keepNext/>
              <w:keepLines/>
              <w:spacing w:after="0" w:line="240" w:lineRule="auto"/>
              <w:jc w:val="right"/>
            </w:pPr>
            <w:r>
              <w:rPr>
                <w:sz w:val="18"/>
              </w:rPr>
              <w:t>389.487,62</w:t>
            </w:r>
          </w:p>
        </w:tc>
        <w:tc>
          <w:tcPr>
            <w:tcW w:w="1860" w:type="dxa"/>
            <w:tcMar>
              <w:top w:w="0" w:type="dxa"/>
              <w:bottom w:w="0" w:type="dxa"/>
            </w:tcMar>
            <w:vAlign w:val="center"/>
          </w:tcPr>
          <w:p w:rsidR="00BE2C99" w:rsidRDefault="005B7AC4">
            <w:pPr>
              <w:keepNext/>
              <w:keepLines/>
              <w:spacing w:after="0" w:line="240" w:lineRule="auto"/>
              <w:jc w:val="right"/>
            </w:pPr>
            <w:r>
              <w:rPr>
                <w:sz w:val="18"/>
              </w:rPr>
              <w:t>305.222,34</w:t>
            </w:r>
          </w:p>
        </w:tc>
        <w:tc>
          <w:tcPr>
            <w:tcW w:w="700" w:type="dxa"/>
            <w:tcMar>
              <w:top w:w="0" w:type="dxa"/>
              <w:bottom w:w="0" w:type="dxa"/>
            </w:tcMar>
            <w:vAlign w:val="center"/>
          </w:tcPr>
          <w:p w:rsidR="00BE2C99" w:rsidRDefault="005B7AC4">
            <w:pPr>
              <w:keepNext/>
              <w:keepLines/>
              <w:spacing w:after="0" w:line="240" w:lineRule="auto"/>
              <w:jc w:val="right"/>
            </w:pPr>
            <w:r>
              <w:rPr>
                <w:sz w:val="18"/>
              </w:rPr>
              <w:t>78,4</w:t>
            </w:r>
          </w:p>
        </w:tc>
      </w:tr>
    </w:tbl>
    <w:p w:rsidR="00BE2C99" w:rsidRDefault="00BE2C99">
      <w:pPr>
        <w:spacing w:after="0"/>
      </w:pPr>
    </w:p>
    <w:p w:rsidR="00BE2C99" w:rsidRDefault="005B7AC4">
      <w:pPr>
        <w:jc w:val="both"/>
      </w:pPr>
      <w:r>
        <w:t>Podaci u bilanci iskazani su nakon obvezne korekcije rezultata sukladno čl.82 Pravilnika o proračunskom računovodstvu. Izvršena je korekcija rezultata za kapitalne prijenose - prihode iz nadležnog proračuna za financiranje rashoda za nabavu nefinancijske i</w:t>
      </w:r>
      <w:r>
        <w:t>movine kojima je financirana nabavka dugotrajne imovine u iznosu od 114.975,88 EUR. Također, Zavod je tijekom 2025. godine ostvario 750,00 EUR kapitalnih donacija te je za istu napravljena korekcija rezultata. Sveukupno, korekcijom rezultata smanjen je viš</w:t>
      </w:r>
      <w:r>
        <w:t>ak prihoda poslovanja u iznosu 115.725,88 EUR te je za isti iznos pokriven dio manjka od nefinancijske imovine.</w:t>
      </w:r>
    </w:p>
    <w:p w:rsidR="00BE2C99" w:rsidRDefault="00BE2C99"/>
    <w:p w:rsidR="00BE2C99" w:rsidRDefault="005B7AC4">
      <w:pPr>
        <w:keepNext/>
        <w:spacing w:line="240" w:lineRule="auto"/>
        <w:jc w:val="center"/>
      </w:pPr>
      <w:r>
        <w:rPr>
          <w:sz w:val="28"/>
        </w:rPr>
        <w:lastRenderedPageBreak/>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5B7AC4">
            <w:pPr>
              <w:keepNext/>
              <w:keepLines/>
              <w:spacing w:after="0" w:line="240" w:lineRule="auto"/>
            </w:pPr>
            <w:r>
              <w:rPr>
                <w:sz w:val="18"/>
              </w:rPr>
              <w:t>9638</w:t>
            </w:r>
          </w:p>
        </w:tc>
        <w:tc>
          <w:tcPr>
            <w:tcW w:w="3180" w:type="dxa"/>
            <w:tcMar>
              <w:top w:w="0" w:type="dxa"/>
              <w:bottom w:w="0" w:type="dxa"/>
            </w:tcMar>
            <w:vAlign w:val="center"/>
          </w:tcPr>
          <w:p w:rsidR="00BE2C99" w:rsidRDefault="005B7AC4">
            <w:pPr>
              <w:keepNext/>
              <w:keepLines/>
              <w:spacing w:after="0" w:line="240" w:lineRule="auto"/>
            </w:pPr>
            <w:r>
              <w:rPr>
                <w:sz w:val="18"/>
              </w:rPr>
              <w:t xml:space="preserve">Pomoći temeljem prijenosa EU </w:t>
            </w:r>
            <w:r>
              <w:rPr>
                <w:sz w:val="18"/>
              </w:rPr>
              <w:t>sredstava</w:t>
            </w:r>
          </w:p>
        </w:tc>
        <w:tc>
          <w:tcPr>
            <w:tcW w:w="700" w:type="dxa"/>
            <w:tcMar>
              <w:top w:w="0" w:type="dxa"/>
              <w:bottom w:w="0" w:type="dxa"/>
            </w:tcMar>
            <w:vAlign w:val="center"/>
          </w:tcPr>
          <w:p w:rsidR="00BE2C99" w:rsidRDefault="005B7AC4">
            <w:pPr>
              <w:keepNext/>
              <w:keepLines/>
              <w:spacing w:after="0" w:line="240" w:lineRule="auto"/>
            </w:pPr>
            <w:r>
              <w:rPr>
                <w:sz w:val="18"/>
              </w:rPr>
              <w:t>9638</w:t>
            </w:r>
          </w:p>
        </w:tc>
        <w:tc>
          <w:tcPr>
            <w:tcW w:w="1860" w:type="dxa"/>
            <w:tcMar>
              <w:top w:w="0" w:type="dxa"/>
              <w:bottom w:w="0" w:type="dxa"/>
            </w:tcMar>
            <w:vAlign w:val="center"/>
          </w:tcPr>
          <w:p w:rsidR="00BE2C99" w:rsidRDefault="005B7AC4">
            <w:pPr>
              <w:keepNext/>
              <w:keepLines/>
              <w:spacing w:after="0" w:line="240" w:lineRule="auto"/>
              <w:jc w:val="right"/>
            </w:pPr>
            <w:r>
              <w:rPr>
                <w:sz w:val="18"/>
              </w:rPr>
              <w:t>22.804,81</w:t>
            </w:r>
          </w:p>
        </w:tc>
        <w:tc>
          <w:tcPr>
            <w:tcW w:w="1860" w:type="dxa"/>
            <w:tcMar>
              <w:top w:w="0" w:type="dxa"/>
              <w:bottom w:w="0" w:type="dxa"/>
            </w:tcMar>
            <w:vAlign w:val="center"/>
          </w:tcPr>
          <w:p w:rsidR="00BE2C99" w:rsidRDefault="005B7AC4">
            <w:pPr>
              <w:keepNext/>
              <w:keepLines/>
              <w:spacing w:after="0" w:line="240" w:lineRule="auto"/>
              <w:jc w:val="right"/>
            </w:pPr>
            <w:r>
              <w:rPr>
                <w:sz w:val="18"/>
              </w:rPr>
              <w:t>19.695,69</w:t>
            </w:r>
          </w:p>
        </w:tc>
        <w:tc>
          <w:tcPr>
            <w:tcW w:w="700" w:type="dxa"/>
            <w:tcMar>
              <w:top w:w="0" w:type="dxa"/>
              <w:bottom w:w="0" w:type="dxa"/>
            </w:tcMar>
            <w:vAlign w:val="center"/>
          </w:tcPr>
          <w:p w:rsidR="00BE2C99" w:rsidRDefault="005B7AC4">
            <w:pPr>
              <w:keepNext/>
              <w:keepLines/>
              <w:spacing w:after="0" w:line="240" w:lineRule="auto"/>
              <w:jc w:val="right"/>
            </w:pPr>
            <w:r>
              <w:rPr>
                <w:sz w:val="18"/>
              </w:rPr>
              <w:t>86,4</w:t>
            </w:r>
          </w:p>
        </w:tc>
      </w:tr>
    </w:tbl>
    <w:p w:rsidR="00BE2C99" w:rsidRDefault="00BE2C99">
      <w:pPr>
        <w:spacing w:after="0"/>
      </w:pPr>
    </w:p>
    <w:p w:rsidR="00BE2C99" w:rsidRDefault="005B7AC4">
      <w:pPr>
        <w:jc w:val="both"/>
      </w:pPr>
      <w:r>
        <w:t>Pomoći temeljem prijenosa EU sredstava odnose se na projekt EU -financiranje specijalizacija. S obzirom na to da je jedna specijalizantica završila specijalističko usavršavanje u listopadu 2025. godine, pripadajuće pomoći na dan 31. prosinca 2025. godine s</w:t>
      </w:r>
      <w:r>
        <w:t>ukladno tome su umanjena.</w:t>
      </w:r>
    </w:p>
    <w:p w:rsidR="00BE2C99" w:rsidRDefault="00BE2C99"/>
    <w:p w:rsidR="00BE2C99" w:rsidRDefault="005B7AC4">
      <w:pPr>
        <w:keepNext/>
        <w:spacing w:line="240" w:lineRule="auto"/>
        <w:jc w:val="center"/>
      </w:pPr>
      <w:r>
        <w:rPr>
          <w:sz w:val="28"/>
        </w:rPr>
        <w:t>Bilješka 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5B7AC4">
            <w:pPr>
              <w:keepNext/>
              <w:keepLines/>
              <w:spacing w:after="0" w:line="240" w:lineRule="auto"/>
            </w:pPr>
            <w:r>
              <w:rPr>
                <w:sz w:val="18"/>
              </w:rPr>
              <w:t>965</w:t>
            </w:r>
          </w:p>
        </w:tc>
        <w:tc>
          <w:tcPr>
            <w:tcW w:w="3180" w:type="dxa"/>
            <w:tcMar>
              <w:top w:w="0" w:type="dxa"/>
              <w:bottom w:w="0" w:type="dxa"/>
            </w:tcMar>
            <w:vAlign w:val="center"/>
          </w:tcPr>
          <w:p w:rsidR="00BE2C99" w:rsidRDefault="005B7AC4">
            <w:pPr>
              <w:keepNext/>
              <w:keepLines/>
              <w:spacing w:after="0" w:line="240" w:lineRule="auto"/>
            </w:pPr>
            <w:r>
              <w:rPr>
                <w:sz w:val="18"/>
              </w:rPr>
              <w:t>Obračunati prihodi od upravnih i administrativnih pristojbi, pristojbi po posebnim propisima i naknada</w:t>
            </w:r>
          </w:p>
        </w:tc>
        <w:tc>
          <w:tcPr>
            <w:tcW w:w="700" w:type="dxa"/>
            <w:tcMar>
              <w:top w:w="0" w:type="dxa"/>
              <w:bottom w:w="0" w:type="dxa"/>
            </w:tcMar>
            <w:vAlign w:val="center"/>
          </w:tcPr>
          <w:p w:rsidR="00BE2C99" w:rsidRDefault="005B7AC4">
            <w:pPr>
              <w:keepNext/>
              <w:keepLines/>
              <w:spacing w:after="0" w:line="240" w:lineRule="auto"/>
            </w:pPr>
            <w:r>
              <w:rPr>
                <w:sz w:val="18"/>
              </w:rPr>
              <w:t>965</w:t>
            </w:r>
          </w:p>
        </w:tc>
        <w:tc>
          <w:tcPr>
            <w:tcW w:w="1860" w:type="dxa"/>
            <w:tcMar>
              <w:top w:w="0" w:type="dxa"/>
              <w:bottom w:w="0" w:type="dxa"/>
            </w:tcMar>
            <w:vAlign w:val="center"/>
          </w:tcPr>
          <w:p w:rsidR="00BE2C99" w:rsidRDefault="005B7AC4">
            <w:pPr>
              <w:keepNext/>
              <w:keepLines/>
              <w:spacing w:after="0" w:line="240" w:lineRule="auto"/>
              <w:jc w:val="right"/>
            </w:pPr>
            <w:r>
              <w:rPr>
                <w:sz w:val="18"/>
              </w:rPr>
              <w:t>29.823,19</w:t>
            </w:r>
          </w:p>
        </w:tc>
        <w:tc>
          <w:tcPr>
            <w:tcW w:w="1860" w:type="dxa"/>
            <w:tcMar>
              <w:top w:w="0" w:type="dxa"/>
              <w:bottom w:w="0" w:type="dxa"/>
            </w:tcMar>
            <w:vAlign w:val="center"/>
          </w:tcPr>
          <w:p w:rsidR="00BE2C99" w:rsidRDefault="005B7AC4">
            <w:pPr>
              <w:keepNext/>
              <w:keepLines/>
              <w:spacing w:after="0" w:line="240" w:lineRule="auto"/>
              <w:jc w:val="right"/>
            </w:pPr>
            <w:r>
              <w:rPr>
                <w:sz w:val="18"/>
              </w:rPr>
              <w:t>36.286,57</w:t>
            </w:r>
          </w:p>
        </w:tc>
        <w:tc>
          <w:tcPr>
            <w:tcW w:w="700" w:type="dxa"/>
            <w:tcMar>
              <w:top w:w="0" w:type="dxa"/>
              <w:bottom w:w="0" w:type="dxa"/>
            </w:tcMar>
            <w:vAlign w:val="center"/>
          </w:tcPr>
          <w:p w:rsidR="00BE2C99" w:rsidRDefault="005B7AC4">
            <w:pPr>
              <w:keepNext/>
              <w:keepLines/>
              <w:spacing w:after="0" w:line="240" w:lineRule="auto"/>
              <w:jc w:val="right"/>
            </w:pPr>
            <w:r>
              <w:rPr>
                <w:sz w:val="18"/>
              </w:rPr>
              <w:t>121,7</w:t>
            </w:r>
          </w:p>
        </w:tc>
      </w:tr>
    </w:tbl>
    <w:p w:rsidR="00BE2C99" w:rsidRDefault="00BE2C99">
      <w:pPr>
        <w:spacing w:after="0"/>
      </w:pPr>
    </w:p>
    <w:p w:rsidR="00BE2C99" w:rsidRDefault="005B7AC4">
      <w:r>
        <w:t>Obračunati su veći prihodi od upravnih i administrativnih pristojbi a koji se odnose na pružene mikrobiološke usluga s osnova  dopunskog zdravstvenog osiguranja.</w:t>
      </w:r>
    </w:p>
    <w:p w:rsidR="00BE2C99" w:rsidRDefault="00BE2C99"/>
    <w:p w:rsidR="00BE2C99" w:rsidRDefault="005B7AC4">
      <w:pPr>
        <w:keepNext/>
        <w:spacing w:line="240" w:lineRule="auto"/>
        <w:jc w:val="center"/>
      </w:pPr>
      <w:r>
        <w:rPr>
          <w:sz w:val="28"/>
        </w:rPr>
        <w:t>Bilješka 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5B7AC4">
            <w:pPr>
              <w:keepNext/>
              <w:keepLines/>
              <w:spacing w:after="0" w:line="240" w:lineRule="auto"/>
            </w:pPr>
            <w:r>
              <w:rPr>
                <w:sz w:val="18"/>
              </w:rPr>
              <w:t>967</w:t>
            </w:r>
          </w:p>
        </w:tc>
        <w:tc>
          <w:tcPr>
            <w:tcW w:w="3180" w:type="dxa"/>
            <w:tcMar>
              <w:top w:w="0" w:type="dxa"/>
              <w:bottom w:w="0" w:type="dxa"/>
            </w:tcMar>
            <w:vAlign w:val="center"/>
          </w:tcPr>
          <w:p w:rsidR="00BE2C99" w:rsidRDefault="005B7AC4">
            <w:pPr>
              <w:keepNext/>
              <w:keepLines/>
              <w:spacing w:after="0" w:line="240" w:lineRule="auto"/>
            </w:pPr>
            <w:r>
              <w:rPr>
                <w:sz w:val="18"/>
              </w:rPr>
              <w:t>Obračunati prihodi iz proračuna</w:t>
            </w:r>
          </w:p>
        </w:tc>
        <w:tc>
          <w:tcPr>
            <w:tcW w:w="700" w:type="dxa"/>
            <w:tcMar>
              <w:top w:w="0" w:type="dxa"/>
              <w:bottom w:w="0" w:type="dxa"/>
            </w:tcMar>
            <w:vAlign w:val="center"/>
          </w:tcPr>
          <w:p w:rsidR="00BE2C99" w:rsidRDefault="005B7AC4">
            <w:pPr>
              <w:keepNext/>
              <w:keepLines/>
              <w:spacing w:after="0" w:line="240" w:lineRule="auto"/>
            </w:pPr>
            <w:r>
              <w:rPr>
                <w:sz w:val="18"/>
              </w:rPr>
              <w:t>967</w:t>
            </w:r>
          </w:p>
        </w:tc>
        <w:tc>
          <w:tcPr>
            <w:tcW w:w="1860" w:type="dxa"/>
            <w:tcMar>
              <w:top w:w="0" w:type="dxa"/>
              <w:bottom w:w="0" w:type="dxa"/>
            </w:tcMar>
            <w:vAlign w:val="center"/>
          </w:tcPr>
          <w:p w:rsidR="00BE2C99" w:rsidRDefault="005B7AC4">
            <w:pPr>
              <w:keepNext/>
              <w:keepLines/>
              <w:spacing w:after="0" w:line="240" w:lineRule="auto"/>
              <w:jc w:val="right"/>
            </w:pPr>
            <w:r>
              <w:rPr>
                <w:sz w:val="18"/>
              </w:rPr>
              <w:t>226.642,51</w:t>
            </w:r>
          </w:p>
        </w:tc>
        <w:tc>
          <w:tcPr>
            <w:tcW w:w="1860" w:type="dxa"/>
            <w:tcMar>
              <w:top w:w="0" w:type="dxa"/>
              <w:bottom w:w="0" w:type="dxa"/>
            </w:tcMar>
            <w:vAlign w:val="center"/>
          </w:tcPr>
          <w:p w:rsidR="00BE2C99" w:rsidRDefault="005B7AC4">
            <w:pPr>
              <w:keepNext/>
              <w:keepLines/>
              <w:spacing w:after="0" w:line="240" w:lineRule="auto"/>
              <w:jc w:val="right"/>
            </w:pPr>
            <w:r>
              <w:rPr>
                <w:sz w:val="18"/>
              </w:rPr>
              <w:t>254.518,20</w:t>
            </w:r>
          </w:p>
        </w:tc>
        <w:tc>
          <w:tcPr>
            <w:tcW w:w="700" w:type="dxa"/>
            <w:tcMar>
              <w:top w:w="0" w:type="dxa"/>
              <w:bottom w:w="0" w:type="dxa"/>
            </w:tcMar>
            <w:vAlign w:val="center"/>
          </w:tcPr>
          <w:p w:rsidR="00BE2C99" w:rsidRDefault="005B7AC4">
            <w:pPr>
              <w:keepNext/>
              <w:keepLines/>
              <w:spacing w:after="0" w:line="240" w:lineRule="auto"/>
              <w:jc w:val="right"/>
            </w:pPr>
            <w:r>
              <w:rPr>
                <w:sz w:val="18"/>
              </w:rPr>
              <w:t>112,3</w:t>
            </w:r>
          </w:p>
        </w:tc>
      </w:tr>
    </w:tbl>
    <w:p w:rsidR="00BE2C99" w:rsidRDefault="00BE2C99">
      <w:pPr>
        <w:spacing w:after="0"/>
      </w:pPr>
    </w:p>
    <w:p w:rsidR="00BE2C99" w:rsidRDefault="005B7AC4">
      <w:r>
        <w:t>Obračunati su veći prihodi od proračuna zbog više odrađenih mikrobioloških usluga kao i većih ugovorenih vrijednosti (glavarine) za djelatnosti primarne zdravstvene zaštite.</w:t>
      </w:r>
    </w:p>
    <w:p w:rsidR="00BE2C99" w:rsidRDefault="00BE2C99"/>
    <w:p w:rsidR="00BE2C99" w:rsidRDefault="005B7AC4">
      <w:pPr>
        <w:keepNext/>
        <w:spacing w:line="240" w:lineRule="auto"/>
        <w:jc w:val="center"/>
      </w:pPr>
      <w:r>
        <w:rPr>
          <w:sz w:val="28"/>
        </w:rPr>
        <w:t>Bilješka 65.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Stanje 31. </w:t>
            </w:r>
            <w:r>
              <w:rPr>
                <w:b/>
                <w:sz w:val="18"/>
              </w:rPr>
              <w:t>prosinca</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5B7AC4">
            <w:pPr>
              <w:keepNext/>
              <w:keepLines/>
              <w:spacing w:after="0" w:line="240" w:lineRule="auto"/>
            </w:pPr>
            <w:r>
              <w:rPr>
                <w:sz w:val="18"/>
              </w:rPr>
              <w:t>968</w:t>
            </w:r>
          </w:p>
        </w:tc>
        <w:tc>
          <w:tcPr>
            <w:tcW w:w="3180" w:type="dxa"/>
            <w:tcMar>
              <w:top w:w="0" w:type="dxa"/>
              <w:bottom w:w="0" w:type="dxa"/>
            </w:tcMar>
            <w:vAlign w:val="center"/>
          </w:tcPr>
          <w:p w:rsidR="00BE2C99" w:rsidRDefault="005B7AC4">
            <w:pPr>
              <w:keepNext/>
              <w:keepLines/>
              <w:spacing w:after="0" w:line="240" w:lineRule="auto"/>
            </w:pPr>
            <w:r>
              <w:rPr>
                <w:sz w:val="18"/>
              </w:rPr>
              <w:t>Kazne i upravne mjere te ostali prihodi</w:t>
            </w:r>
          </w:p>
        </w:tc>
        <w:tc>
          <w:tcPr>
            <w:tcW w:w="700" w:type="dxa"/>
            <w:tcMar>
              <w:top w:w="0" w:type="dxa"/>
              <w:bottom w:w="0" w:type="dxa"/>
            </w:tcMar>
            <w:vAlign w:val="center"/>
          </w:tcPr>
          <w:p w:rsidR="00BE2C99" w:rsidRDefault="005B7AC4">
            <w:pPr>
              <w:keepNext/>
              <w:keepLines/>
              <w:spacing w:after="0" w:line="240" w:lineRule="auto"/>
            </w:pPr>
            <w:r>
              <w:rPr>
                <w:sz w:val="18"/>
              </w:rPr>
              <w:t>968</w:t>
            </w:r>
          </w:p>
        </w:tc>
        <w:tc>
          <w:tcPr>
            <w:tcW w:w="1860" w:type="dxa"/>
            <w:tcMar>
              <w:top w:w="0" w:type="dxa"/>
              <w:bottom w:w="0" w:type="dxa"/>
            </w:tcMar>
            <w:vAlign w:val="center"/>
          </w:tcPr>
          <w:p w:rsidR="00BE2C99" w:rsidRDefault="005B7AC4">
            <w:pPr>
              <w:keepNext/>
              <w:keepLines/>
              <w:spacing w:after="0" w:line="240" w:lineRule="auto"/>
              <w:jc w:val="right"/>
            </w:pPr>
            <w:r>
              <w:rPr>
                <w:sz w:val="18"/>
              </w:rPr>
              <w:t>644,97</w:t>
            </w:r>
          </w:p>
        </w:tc>
        <w:tc>
          <w:tcPr>
            <w:tcW w:w="1860" w:type="dxa"/>
            <w:tcMar>
              <w:top w:w="0" w:type="dxa"/>
              <w:bottom w:w="0" w:type="dxa"/>
            </w:tcMar>
            <w:vAlign w:val="center"/>
          </w:tcPr>
          <w:p w:rsidR="00BE2C99" w:rsidRDefault="005B7AC4">
            <w:pPr>
              <w:keepNext/>
              <w:keepLines/>
              <w:spacing w:after="0" w:line="240" w:lineRule="auto"/>
              <w:jc w:val="right"/>
            </w:pPr>
            <w:r>
              <w:rPr>
                <w:sz w:val="18"/>
              </w:rPr>
              <w:t>812,84</w:t>
            </w:r>
          </w:p>
        </w:tc>
        <w:tc>
          <w:tcPr>
            <w:tcW w:w="700" w:type="dxa"/>
            <w:tcMar>
              <w:top w:w="0" w:type="dxa"/>
              <w:bottom w:w="0" w:type="dxa"/>
            </w:tcMar>
            <w:vAlign w:val="center"/>
          </w:tcPr>
          <w:p w:rsidR="00BE2C99" w:rsidRDefault="005B7AC4">
            <w:pPr>
              <w:keepNext/>
              <w:keepLines/>
              <w:spacing w:after="0" w:line="240" w:lineRule="auto"/>
              <w:jc w:val="right"/>
            </w:pPr>
            <w:r>
              <w:rPr>
                <w:sz w:val="18"/>
              </w:rPr>
              <w:t>126,0</w:t>
            </w:r>
          </w:p>
        </w:tc>
      </w:tr>
    </w:tbl>
    <w:p w:rsidR="00BE2C99" w:rsidRDefault="00BE2C99">
      <w:pPr>
        <w:spacing w:after="0"/>
      </w:pPr>
    </w:p>
    <w:p w:rsidR="00BE2C99" w:rsidRDefault="005B7AC4">
      <w:r>
        <w:t>Obračunati su veći ostali prihodi koji se odnose na fakturiranje režijskih troškova prema Županijskoj bolnici Čakovec.</w:t>
      </w:r>
    </w:p>
    <w:p w:rsidR="00BE2C99" w:rsidRDefault="00BE2C99"/>
    <w:p w:rsidR="00BE2C99" w:rsidRDefault="005B7AC4">
      <w:pPr>
        <w:keepNext/>
        <w:spacing w:line="240" w:lineRule="auto"/>
        <w:jc w:val="center"/>
      </w:pPr>
      <w:r>
        <w:rPr>
          <w:sz w:val="28"/>
        </w:rPr>
        <w:t>Bilješka 66.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5B7AC4">
            <w:pPr>
              <w:keepNext/>
              <w:keepLines/>
              <w:spacing w:after="0" w:line="240" w:lineRule="auto"/>
            </w:pPr>
            <w:r>
              <w:rPr>
                <w:sz w:val="18"/>
              </w:rPr>
              <w:t>dio 16</w:t>
            </w:r>
          </w:p>
        </w:tc>
        <w:tc>
          <w:tcPr>
            <w:tcW w:w="3180" w:type="dxa"/>
            <w:tcMar>
              <w:top w:w="0" w:type="dxa"/>
              <w:bottom w:w="0" w:type="dxa"/>
            </w:tcMar>
            <w:vAlign w:val="center"/>
          </w:tcPr>
          <w:p w:rsidR="00BE2C99" w:rsidRDefault="005B7AC4">
            <w:pPr>
              <w:keepNext/>
              <w:keepLines/>
              <w:spacing w:after="0" w:line="240" w:lineRule="auto"/>
            </w:pPr>
            <w:r>
              <w:rPr>
                <w:sz w:val="18"/>
              </w:rPr>
              <w:t>Potraživanja za prihode poslovanja - dospjela</w:t>
            </w:r>
          </w:p>
        </w:tc>
        <w:tc>
          <w:tcPr>
            <w:tcW w:w="700" w:type="dxa"/>
            <w:tcMar>
              <w:top w:w="0" w:type="dxa"/>
              <w:bottom w:w="0" w:type="dxa"/>
            </w:tcMar>
            <w:vAlign w:val="center"/>
          </w:tcPr>
          <w:p w:rsidR="00BE2C99" w:rsidRDefault="005B7AC4">
            <w:pPr>
              <w:keepNext/>
              <w:keepLines/>
              <w:spacing w:after="0" w:line="240" w:lineRule="auto"/>
            </w:pPr>
            <w:r>
              <w:rPr>
                <w:sz w:val="18"/>
              </w:rPr>
              <w:t>dio 16 D</w:t>
            </w:r>
          </w:p>
        </w:tc>
        <w:tc>
          <w:tcPr>
            <w:tcW w:w="1860" w:type="dxa"/>
            <w:tcMar>
              <w:top w:w="0" w:type="dxa"/>
              <w:bottom w:w="0" w:type="dxa"/>
            </w:tcMar>
            <w:vAlign w:val="center"/>
          </w:tcPr>
          <w:p w:rsidR="00BE2C99" w:rsidRDefault="005B7AC4">
            <w:pPr>
              <w:keepNext/>
              <w:keepLines/>
              <w:spacing w:after="0" w:line="240" w:lineRule="auto"/>
              <w:jc w:val="right"/>
            </w:pPr>
            <w:r>
              <w:rPr>
                <w:sz w:val="18"/>
              </w:rPr>
              <w:t>56.442,84</w:t>
            </w:r>
          </w:p>
        </w:tc>
        <w:tc>
          <w:tcPr>
            <w:tcW w:w="1860" w:type="dxa"/>
            <w:tcMar>
              <w:top w:w="0" w:type="dxa"/>
              <w:bottom w:w="0" w:type="dxa"/>
            </w:tcMar>
            <w:vAlign w:val="center"/>
          </w:tcPr>
          <w:p w:rsidR="00BE2C99" w:rsidRDefault="005B7AC4">
            <w:pPr>
              <w:keepNext/>
              <w:keepLines/>
              <w:spacing w:after="0" w:line="240" w:lineRule="auto"/>
              <w:jc w:val="right"/>
            </w:pPr>
            <w:r>
              <w:rPr>
                <w:sz w:val="18"/>
              </w:rPr>
              <w:t>27.045,92</w:t>
            </w:r>
          </w:p>
        </w:tc>
        <w:tc>
          <w:tcPr>
            <w:tcW w:w="700" w:type="dxa"/>
            <w:tcMar>
              <w:top w:w="0" w:type="dxa"/>
              <w:bottom w:w="0" w:type="dxa"/>
            </w:tcMar>
            <w:vAlign w:val="center"/>
          </w:tcPr>
          <w:p w:rsidR="00BE2C99" w:rsidRDefault="005B7AC4">
            <w:pPr>
              <w:keepNext/>
              <w:keepLines/>
              <w:spacing w:after="0" w:line="240" w:lineRule="auto"/>
              <w:jc w:val="right"/>
            </w:pPr>
            <w:r>
              <w:rPr>
                <w:sz w:val="18"/>
              </w:rPr>
              <w:t>47,9</w:t>
            </w:r>
          </w:p>
        </w:tc>
      </w:tr>
    </w:tbl>
    <w:p w:rsidR="00BE2C99" w:rsidRDefault="00BE2C99">
      <w:pPr>
        <w:spacing w:after="0"/>
      </w:pPr>
    </w:p>
    <w:p w:rsidR="00BE2C99" w:rsidRDefault="005B7AC4">
      <w:r>
        <w:t>Smanjenje dospjelih potraživanja rezultat je njihove bolje naplate u 2025. godini.                                      </w:t>
      </w:r>
    </w:p>
    <w:p w:rsidR="00BE2C99" w:rsidRDefault="00BE2C99"/>
    <w:p w:rsidR="00BE2C99" w:rsidRDefault="005B7AC4">
      <w:pPr>
        <w:keepNext/>
        <w:spacing w:line="240" w:lineRule="auto"/>
        <w:jc w:val="center"/>
      </w:pPr>
      <w:r>
        <w:rPr>
          <w:b/>
          <w:sz w:val="28"/>
        </w:rPr>
        <w:t>Promjene u vrijednosti i obujmu imovine i obveza</w:t>
      </w:r>
    </w:p>
    <w:p w:rsidR="00BE2C99" w:rsidRDefault="005B7AC4">
      <w:pPr>
        <w:keepNext/>
        <w:spacing w:line="240" w:lineRule="auto"/>
        <w:jc w:val="center"/>
      </w:pPr>
      <w:r>
        <w:rPr>
          <w:sz w:val="28"/>
        </w:rPr>
        <w:t>Bilješka 67.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BE2C99">
            <w:pPr>
              <w:keepNext/>
              <w:keepLines/>
              <w:spacing w:after="0" w:line="240" w:lineRule="auto"/>
            </w:pPr>
          </w:p>
        </w:tc>
        <w:tc>
          <w:tcPr>
            <w:tcW w:w="3180" w:type="dxa"/>
            <w:tcMar>
              <w:top w:w="0" w:type="dxa"/>
              <w:bottom w:w="0" w:type="dxa"/>
            </w:tcMar>
            <w:vAlign w:val="center"/>
          </w:tcPr>
          <w:p w:rsidR="00BE2C99" w:rsidRDefault="005B7AC4">
            <w:pPr>
              <w:keepNext/>
              <w:keepLines/>
              <w:spacing w:after="0" w:line="240" w:lineRule="auto"/>
            </w:pPr>
            <w:r>
              <w:rPr>
                <w:sz w:val="18"/>
              </w:rPr>
              <w:t>Proizvedena dugotrajna imovina</w:t>
            </w:r>
          </w:p>
        </w:tc>
        <w:tc>
          <w:tcPr>
            <w:tcW w:w="700" w:type="dxa"/>
            <w:tcMar>
              <w:top w:w="0" w:type="dxa"/>
              <w:bottom w:w="0" w:type="dxa"/>
            </w:tcMar>
            <w:vAlign w:val="center"/>
          </w:tcPr>
          <w:p w:rsidR="00BE2C99" w:rsidRDefault="005B7AC4">
            <w:pPr>
              <w:keepNext/>
              <w:keepLines/>
              <w:spacing w:after="0" w:line="240" w:lineRule="auto"/>
            </w:pPr>
            <w:r>
              <w:rPr>
                <w:sz w:val="18"/>
              </w:rPr>
              <w:t>P003</w:t>
            </w:r>
          </w:p>
        </w:tc>
        <w:tc>
          <w:tcPr>
            <w:tcW w:w="1860" w:type="dxa"/>
            <w:tcMar>
              <w:top w:w="0" w:type="dxa"/>
              <w:bottom w:w="0" w:type="dxa"/>
            </w:tcMar>
            <w:vAlign w:val="center"/>
          </w:tcPr>
          <w:p w:rsidR="00BE2C99" w:rsidRDefault="005B7AC4">
            <w:pPr>
              <w:keepNext/>
              <w:keepLines/>
              <w:spacing w:after="0" w:line="240" w:lineRule="auto"/>
              <w:jc w:val="right"/>
            </w:pPr>
            <w:r>
              <w:rPr>
                <w:sz w:val="18"/>
              </w:rPr>
              <w:t>0,00</w:t>
            </w:r>
          </w:p>
        </w:tc>
        <w:tc>
          <w:tcPr>
            <w:tcW w:w="1860" w:type="dxa"/>
            <w:tcMar>
              <w:top w:w="0" w:type="dxa"/>
              <w:bottom w:w="0" w:type="dxa"/>
            </w:tcMar>
            <w:vAlign w:val="center"/>
          </w:tcPr>
          <w:p w:rsidR="00BE2C99" w:rsidRDefault="005B7AC4">
            <w:pPr>
              <w:keepNext/>
              <w:keepLines/>
              <w:spacing w:after="0" w:line="240" w:lineRule="auto"/>
              <w:jc w:val="right"/>
            </w:pPr>
            <w:r>
              <w:rPr>
                <w:sz w:val="18"/>
              </w:rPr>
              <w:t>328.870,28</w:t>
            </w:r>
          </w:p>
        </w:tc>
        <w:tc>
          <w:tcPr>
            <w:tcW w:w="700" w:type="dxa"/>
            <w:tcMar>
              <w:top w:w="0" w:type="dxa"/>
              <w:bottom w:w="0" w:type="dxa"/>
            </w:tcMar>
            <w:vAlign w:val="center"/>
          </w:tcPr>
          <w:p w:rsidR="00BE2C99" w:rsidRDefault="005B7AC4">
            <w:pPr>
              <w:keepNext/>
              <w:keepLines/>
              <w:spacing w:after="0" w:line="240" w:lineRule="auto"/>
              <w:jc w:val="right"/>
            </w:pPr>
            <w:r>
              <w:rPr>
                <w:sz w:val="18"/>
              </w:rPr>
              <w:t>-</w:t>
            </w:r>
          </w:p>
        </w:tc>
      </w:tr>
    </w:tbl>
    <w:p w:rsidR="00BE2C99" w:rsidRDefault="00BE2C99">
      <w:pPr>
        <w:spacing w:after="0"/>
      </w:pPr>
    </w:p>
    <w:p w:rsidR="00BE2C99" w:rsidRDefault="005B7AC4">
      <w:r>
        <w:t>Radi se o ispravku vrijednosti dugotrajne imovine kao i rashodovanju dugotrajne imovine (opreme) za koje je utvrđeno da je popravak neisplativ.</w:t>
      </w:r>
    </w:p>
    <w:p w:rsidR="00BE2C99" w:rsidRDefault="00BE2C99"/>
    <w:p w:rsidR="00BE2C99" w:rsidRDefault="005B7AC4">
      <w:pPr>
        <w:keepNext/>
        <w:spacing w:line="240" w:lineRule="auto"/>
        <w:jc w:val="center"/>
      </w:pPr>
      <w:r>
        <w:rPr>
          <w:sz w:val="28"/>
        </w:rPr>
        <w:t>Bilješka 68.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Opis </w:t>
            </w:r>
            <w:r>
              <w:rPr>
                <w:b/>
                <w:sz w:val="18"/>
              </w:rPr>
              <w:t>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BE2C99">
            <w:pPr>
              <w:keepNext/>
              <w:keepLines/>
              <w:spacing w:after="0" w:line="240" w:lineRule="auto"/>
            </w:pPr>
          </w:p>
        </w:tc>
        <w:tc>
          <w:tcPr>
            <w:tcW w:w="3180" w:type="dxa"/>
            <w:tcMar>
              <w:top w:w="0" w:type="dxa"/>
              <w:bottom w:w="0" w:type="dxa"/>
            </w:tcMar>
            <w:vAlign w:val="center"/>
          </w:tcPr>
          <w:p w:rsidR="00BE2C99" w:rsidRDefault="005B7AC4">
            <w:pPr>
              <w:keepNext/>
              <w:keepLines/>
              <w:spacing w:after="0" w:line="240" w:lineRule="auto"/>
            </w:pPr>
            <w:r>
              <w:rPr>
                <w:sz w:val="18"/>
              </w:rPr>
              <w:t>Proizvedena dugotrajna imovina</w:t>
            </w:r>
          </w:p>
        </w:tc>
        <w:tc>
          <w:tcPr>
            <w:tcW w:w="700" w:type="dxa"/>
            <w:tcMar>
              <w:top w:w="0" w:type="dxa"/>
              <w:bottom w:w="0" w:type="dxa"/>
            </w:tcMar>
            <w:vAlign w:val="center"/>
          </w:tcPr>
          <w:p w:rsidR="00BE2C99" w:rsidRDefault="005B7AC4">
            <w:pPr>
              <w:keepNext/>
              <w:keepLines/>
              <w:spacing w:after="0" w:line="240" w:lineRule="auto"/>
            </w:pPr>
            <w:r>
              <w:rPr>
                <w:sz w:val="18"/>
              </w:rPr>
              <w:t>P018</w:t>
            </w:r>
          </w:p>
        </w:tc>
        <w:tc>
          <w:tcPr>
            <w:tcW w:w="1860" w:type="dxa"/>
            <w:tcMar>
              <w:top w:w="0" w:type="dxa"/>
              <w:bottom w:w="0" w:type="dxa"/>
            </w:tcMar>
            <w:vAlign w:val="center"/>
          </w:tcPr>
          <w:p w:rsidR="00BE2C99" w:rsidRDefault="005B7AC4">
            <w:pPr>
              <w:keepNext/>
              <w:keepLines/>
              <w:spacing w:after="0" w:line="240" w:lineRule="auto"/>
              <w:jc w:val="right"/>
            </w:pPr>
            <w:r>
              <w:rPr>
                <w:sz w:val="18"/>
              </w:rPr>
              <w:t>399,00</w:t>
            </w:r>
          </w:p>
        </w:tc>
        <w:tc>
          <w:tcPr>
            <w:tcW w:w="1860" w:type="dxa"/>
            <w:tcMar>
              <w:top w:w="0" w:type="dxa"/>
              <w:bottom w:w="0" w:type="dxa"/>
            </w:tcMar>
            <w:vAlign w:val="center"/>
          </w:tcPr>
          <w:p w:rsidR="00BE2C99" w:rsidRDefault="005B7AC4">
            <w:pPr>
              <w:keepNext/>
              <w:keepLines/>
              <w:spacing w:after="0" w:line="240" w:lineRule="auto"/>
              <w:jc w:val="right"/>
            </w:pPr>
            <w:r>
              <w:rPr>
                <w:sz w:val="18"/>
              </w:rPr>
              <w:t>0,00</w:t>
            </w:r>
          </w:p>
        </w:tc>
        <w:tc>
          <w:tcPr>
            <w:tcW w:w="700" w:type="dxa"/>
            <w:tcMar>
              <w:top w:w="0" w:type="dxa"/>
              <w:bottom w:w="0" w:type="dxa"/>
            </w:tcMar>
            <w:vAlign w:val="center"/>
          </w:tcPr>
          <w:p w:rsidR="00BE2C99" w:rsidRDefault="005B7AC4">
            <w:pPr>
              <w:keepNext/>
              <w:keepLines/>
              <w:spacing w:after="0" w:line="240" w:lineRule="auto"/>
              <w:jc w:val="right"/>
            </w:pPr>
            <w:r>
              <w:rPr>
                <w:sz w:val="18"/>
              </w:rPr>
              <w:t>0</w:t>
            </w:r>
          </w:p>
        </w:tc>
      </w:tr>
    </w:tbl>
    <w:p w:rsidR="00BE2C99" w:rsidRDefault="00BE2C99">
      <w:pPr>
        <w:spacing w:after="0"/>
      </w:pPr>
    </w:p>
    <w:p w:rsidR="00BE2C99" w:rsidRDefault="005B7AC4">
      <w:r>
        <w:t>U okviru procesa prijenosa dugotrajne imovine unutar općeg proračuna, Zavod je tijekom obilježavanja 30. obljetnice svoga rada zaprimio darovane umjetničke slike. S obzirom na to da je riječ o imovini stečenoj bez naknade, ona je u poslovnim knjigama evide</w:t>
      </w:r>
      <w:r>
        <w:t>ntirana kao proizvedena dugotrajna imovina unutar skupine umjetničkih djela prema procijenjenoj tržišnoj vrijednosti. </w:t>
      </w:r>
    </w:p>
    <w:p w:rsidR="00BE2C99" w:rsidRDefault="00BE2C99"/>
    <w:p w:rsidR="00BE2C99" w:rsidRDefault="005B7AC4">
      <w:pPr>
        <w:keepNext/>
        <w:spacing w:line="240" w:lineRule="auto"/>
        <w:jc w:val="center"/>
      </w:pPr>
      <w:r>
        <w:rPr>
          <w:sz w:val="28"/>
        </w:rPr>
        <w:lastRenderedPageBreak/>
        <w:t>Bilješka 69.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BE2C99">
            <w:pPr>
              <w:keepNext/>
              <w:keepLines/>
              <w:spacing w:after="0" w:line="240" w:lineRule="auto"/>
            </w:pPr>
          </w:p>
        </w:tc>
        <w:tc>
          <w:tcPr>
            <w:tcW w:w="3180" w:type="dxa"/>
            <w:tcMar>
              <w:top w:w="0" w:type="dxa"/>
              <w:bottom w:w="0" w:type="dxa"/>
            </w:tcMar>
            <w:vAlign w:val="center"/>
          </w:tcPr>
          <w:p w:rsidR="00BE2C99" w:rsidRDefault="005B7AC4">
            <w:pPr>
              <w:keepNext/>
              <w:keepLines/>
              <w:spacing w:after="0" w:line="240" w:lineRule="auto"/>
            </w:pPr>
            <w:r>
              <w:rPr>
                <w:sz w:val="18"/>
              </w:rPr>
              <w:t>Potraživanja za prihode poslovanja</w:t>
            </w:r>
          </w:p>
        </w:tc>
        <w:tc>
          <w:tcPr>
            <w:tcW w:w="700" w:type="dxa"/>
            <w:tcMar>
              <w:top w:w="0" w:type="dxa"/>
              <w:bottom w:w="0" w:type="dxa"/>
            </w:tcMar>
            <w:vAlign w:val="center"/>
          </w:tcPr>
          <w:p w:rsidR="00BE2C99" w:rsidRDefault="005B7AC4">
            <w:pPr>
              <w:keepNext/>
              <w:keepLines/>
              <w:spacing w:after="0" w:line="240" w:lineRule="auto"/>
            </w:pPr>
            <w:r>
              <w:rPr>
                <w:sz w:val="18"/>
              </w:rPr>
              <w:t>P029</w:t>
            </w:r>
          </w:p>
        </w:tc>
        <w:tc>
          <w:tcPr>
            <w:tcW w:w="1860" w:type="dxa"/>
            <w:tcMar>
              <w:top w:w="0" w:type="dxa"/>
              <w:bottom w:w="0" w:type="dxa"/>
            </w:tcMar>
            <w:vAlign w:val="center"/>
          </w:tcPr>
          <w:p w:rsidR="00BE2C99" w:rsidRDefault="005B7AC4">
            <w:pPr>
              <w:keepNext/>
              <w:keepLines/>
              <w:spacing w:after="0" w:line="240" w:lineRule="auto"/>
              <w:jc w:val="right"/>
            </w:pPr>
            <w:r>
              <w:rPr>
                <w:sz w:val="18"/>
              </w:rPr>
              <w:t>0,00</w:t>
            </w:r>
          </w:p>
        </w:tc>
        <w:tc>
          <w:tcPr>
            <w:tcW w:w="1860" w:type="dxa"/>
            <w:tcMar>
              <w:top w:w="0" w:type="dxa"/>
              <w:bottom w:w="0" w:type="dxa"/>
            </w:tcMar>
            <w:vAlign w:val="center"/>
          </w:tcPr>
          <w:p w:rsidR="00BE2C99" w:rsidRDefault="005B7AC4">
            <w:pPr>
              <w:keepNext/>
              <w:keepLines/>
              <w:spacing w:after="0" w:line="240" w:lineRule="auto"/>
              <w:jc w:val="right"/>
            </w:pPr>
            <w:r>
              <w:rPr>
                <w:sz w:val="18"/>
              </w:rPr>
              <w:t>576,17</w:t>
            </w:r>
          </w:p>
        </w:tc>
        <w:tc>
          <w:tcPr>
            <w:tcW w:w="700" w:type="dxa"/>
            <w:tcMar>
              <w:top w:w="0" w:type="dxa"/>
              <w:bottom w:w="0" w:type="dxa"/>
            </w:tcMar>
            <w:vAlign w:val="center"/>
          </w:tcPr>
          <w:p w:rsidR="00BE2C99" w:rsidRDefault="005B7AC4">
            <w:pPr>
              <w:keepNext/>
              <w:keepLines/>
              <w:spacing w:after="0" w:line="240" w:lineRule="auto"/>
              <w:jc w:val="right"/>
            </w:pPr>
            <w:r>
              <w:rPr>
                <w:sz w:val="18"/>
              </w:rPr>
              <w:t>-</w:t>
            </w:r>
          </w:p>
        </w:tc>
      </w:tr>
    </w:tbl>
    <w:p w:rsidR="00BE2C99" w:rsidRDefault="00BE2C99">
      <w:pPr>
        <w:spacing w:after="0"/>
      </w:pPr>
    </w:p>
    <w:p w:rsidR="00BE2C99" w:rsidRDefault="005B7AC4">
      <w:r>
        <w:t>Sukladno Odluci Upravnog vijeća, izvršen je otpis potraživanja za prihode poslovanja jer je subjekt-dužnik brisan iz sudskog registra (ugašen).</w:t>
      </w:r>
    </w:p>
    <w:p w:rsidR="00BE2C99" w:rsidRDefault="00BE2C99"/>
    <w:p w:rsidR="00BE2C99" w:rsidRDefault="005B7AC4">
      <w:pPr>
        <w:keepNext/>
        <w:spacing w:line="240" w:lineRule="auto"/>
        <w:jc w:val="center"/>
      </w:pPr>
      <w:r>
        <w:rPr>
          <w:b/>
          <w:sz w:val="28"/>
        </w:rPr>
        <w:t>Izvještaj o obvezama</w:t>
      </w:r>
    </w:p>
    <w:p w:rsidR="00BE2C99" w:rsidRDefault="005B7AC4">
      <w:pPr>
        <w:keepNext/>
        <w:spacing w:line="240" w:lineRule="auto"/>
        <w:jc w:val="center"/>
      </w:pPr>
      <w:r>
        <w:rPr>
          <w:sz w:val="28"/>
        </w:rPr>
        <w:t>Bilješka 70.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BE2C99">
        <w:tblPrEx>
          <w:tblCellMar>
            <w:top w:w="0" w:type="dxa"/>
            <w:bottom w:w="0" w:type="dxa"/>
          </w:tblCellMar>
        </w:tblPrEx>
        <w:trPr>
          <w:cantSplit/>
        </w:trPr>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BE2C99" w:rsidRDefault="005B7AC4">
            <w:pPr>
              <w:keepNext/>
              <w:keepLines/>
              <w:spacing w:after="0" w:line="240" w:lineRule="auto"/>
              <w:jc w:val="center"/>
            </w:pPr>
            <w:r>
              <w:rPr>
                <w:b/>
                <w:sz w:val="18"/>
              </w:rPr>
              <w:t>Indeks (%)</w:t>
            </w:r>
          </w:p>
        </w:tc>
      </w:tr>
      <w:tr w:rsidR="00BE2C99">
        <w:tblPrEx>
          <w:tblCellMar>
            <w:top w:w="0" w:type="dxa"/>
            <w:bottom w:w="0" w:type="dxa"/>
          </w:tblCellMar>
        </w:tblPrEx>
        <w:trPr>
          <w:cantSplit/>
          <w:trHeight w:val="560"/>
        </w:trPr>
        <w:tc>
          <w:tcPr>
            <w:tcW w:w="700" w:type="dxa"/>
            <w:tcMar>
              <w:top w:w="0" w:type="dxa"/>
              <w:bottom w:w="0" w:type="dxa"/>
            </w:tcMar>
            <w:vAlign w:val="center"/>
          </w:tcPr>
          <w:p w:rsidR="00BE2C99" w:rsidRDefault="00BE2C99">
            <w:pPr>
              <w:keepNext/>
              <w:keepLines/>
              <w:spacing w:after="0" w:line="240" w:lineRule="auto"/>
            </w:pPr>
          </w:p>
        </w:tc>
        <w:tc>
          <w:tcPr>
            <w:tcW w:w="3180" w:type="dxa"/>
            <w:tcMar>
              <w:top w:w="0" w:type="dxa"/>
              <w:bottom w:w="0" w:type="dxa"/>
            </w:tcMar>
            <w:vAlign w:val="center"/>
          </w:tcPr>
          <w:p w:rsidR="00BE2C99" w:rsidRDefault="005B7AC4">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BE2C99" w:rsidRDefault="005B7AC4">
            <w:pPr>
              <w:keepNext/>
              <w:keepLines/>
              <w:spacing w:after="0" w:line="240" w:lineRule="auto"/>
            </w:pPr>
            <w:r>
              <w:rPr>
                <w:sz w:val="18"/>
              </w:rPr>
              <w:t>V007</w:t>
            </w:r>
          </w:p>
        </w:tc>
        <w:tc>
          <w:tcPr>
            <w:tcW w:w="1860" w:type="dxa"/>
            <w:tcMar>
              <w:top w:w="0" w:type="dxa"/>
              <w:bottom w:w="0" w:type="dxa"/>
            </w:tcMar>
            <w:vAlign w:val="center"/>
          </w:tcPr>
          <w:p w:rsidR="00BE2C99" w:rsidRDefault="005B7AC4">
            <w:pPr>
              <w:keepNext/>
              <w:keepLines/>
              <w:spacing w:after="0" w:line="240" w:lineRule="auto"/>
              <w:jc w:val="right"/>
            </w:pPr>
            <w:r>
              <w:rPr>
                <w:sz w:val="18"/>
              </w:rPr>
              <w:t>0,00</w:t>
            </w:r>
          </w:p>
        </w:tc>
        <w:tc>
          <w:tcPr>
            <w:tcW w:w="700" w:type="dxa"/>
            <w:tcMar>
              <w:top w:w="0" w:type="dxa"/>
              <w:bottom w:w="0" w:type="dxa"/>
            </w:tcMar>
            <w:vAlign w:val="center"/>
          </w:tcPr>
          <w:p w:rsidR="00BE2C99" w:rsidRDefault="005B7AC4">
            <w:pPr>
              <w:keepNext/>
              <w:keepLines/>
              <w:spacing w:after="0" w:line="240" w:lineRule="auto"/>
              <w:jc w:val="right"/>
            </w:pPr>
            <w:r>
              <w:rPr>
                <w:sz w:val="18"/>
              </w:rPr>
              <w:t>-</w:t>
            </w:r>
          </w:p>
        </w:tc>
      </w:tr>
    </w:tbl>
    <w:p w:rsidR="00BE2C99" w:rsidRDefault="00BE2C99">
      <w:pPr>
        <w:spacing w:after="0"/>
      </w:pPr>
    </w:p>
    <w:p w:rsidR="00BE2C99" w:rsidRDefault="005B7AC4">
      <w:r>
        <w:t>Zavod za javno zdravstvo Međimurske županije nema dospjelih nepodmirenih obveza na kraju 2025. godine.</w:t>
      </w:r>
    </w:p>
    <w:p w:rsidR="00BE2C99" w:rsidRDefault="00BE2C99"/>
    <w:p w:rsidR="00BE2C99" w:rsidRDefault="005B7AC4">
      <w:pPr>
        <w:keepNext/>
        <w:spacing w:line="240" w:lineRule="auto"/>
        <w:jc w:val="center"/>
      </w:pPr>
      <w:r>
        <w:rPr>
          <w:sz w:val="28"/>
        </w:rPr>
        <w:t>Bilješka 71.</w:t>
      </w:r>
    </w:p>
    <w:p w:rsidR="00BE2C99" w:rsidRDefault="005B7AC4">
      <w:pPr>
        <w:spacing w:line="240" w:lineRule="auto"/>
        <w:jc w:val="both"/>
      </w:pPr>
      <w:r>
        <w:rPr>
          <w:b/>
        </w:rPr>
        <w:t>EU izvještaj</w:t>
      </w:r>
    </w:p>
    <w:p w:rsidR="00BE2C99" w:rsidRDefault="005B7AC4">
      <w:pPr>
        <w:jc w:val="both"/>
      </w:pPr>
      <w:r>
        <w:t>EU IZVJEŠTAJ odnosi se na projekt „Financiranje specijalizacija ZZJZ Međimurske županije“ kojim se sufinanciraju plaće troje specijalizanata. Tijekom lipnja 2024. godine jedna je specijalizantica završila usavršavanje, dok je druga specijalizaciju završila</w:t>
      </w:r>
      <w:r>
        <w:t xml:space="preserve"> u listopadu 2025. godine. Slijedom toga, od listopada 2025. godine kroz projekt se financiraju troškovi samo za jednu preostalu specijalizanticu. </w:t>
      </w:r>
    </w:p>
    <w:p w:rsidR="00BE2C99" w:rsidRDefault="005B7AC4">
      <w:r>
        <w:t> </w:t>
      </w:r>
    </w:p>
    <w:p w:rsidR="00BE2C99" w:rsidRDefault="005B7AC4">
      <w:r>
        <w:br/>
        <w:t> </w:t>
      </w:r>
    </w:p>
    <w:p w:rsidR="00BE2C99" w:rsidRDefault="00BE2C99"/>
    <w:sectPr w:rsidR="00BE2C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C99"/>
    <w:rsid w:val="005B7AC4"/>
    <w:rsid w:val="00BE2C9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6442</Words>
  <Characters>36720</Characters>
  <Application>Microsoft Office Word</Application>
  <DocSecurity>0</DocSecurity>
  <Lines>306</Lines>
  <Paragraphs>86</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43076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Srnec</dc:creator>
  <cp:lastModifiedBy>sbencik</cp:lastModifiedBy>
  <cp:revision>2</cp:revision>
  <dcterms:created xsi:type="dcterms:W3CDTF">2026-02-27T10:54:00Z</dcterms:created>
  <dcterms:modified xsi:type="dcterms:W3CDTF">2026-02-27T10:54:00Z</dcterms:modified>
</cp:coreProperties>
</file>