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4C5" w:rsidRDefault="00AA64C5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-POSEBNI DIO-</w:t>
      </w:r>
    </w:p>
    <w:p w:rsidR="006B5CCE" w:rsidRPr="00196D0A" w:rsidRDefault="00591626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OBRAZLOŽENJE </w:t>
      </w:r>
      <w:r w:rsidR="000937E5">
        <w:rPr>
          <w:rFonts w:ascii="Calibri" w:hAnsi="Calibri" w:cs="Calibri"/>
          <w:b/>
          <w:sz w:val="20"/>
          <w:szCs w:val="20"/>
        </w:rPr>
        <w:t>PRIJEDLOG</w:t>
      </w:r>
      <w:r>
        <w:rPr>
          <w:rFonts w:ascii="Calibri" w:hAnsi="Calibri" w:cs="Calibri"/>
          <w:b/>
          <w:sz w:val="20"/>
          <w:szCs w:val="20"/>
        </w:rPr>
        <w:t>A</w:t>
      </w:r>
      <w:bookmarkStart w:id="0" w:name="_GoBack"/>
      <w:bookmarkEnd w:id="0"/>
      <w:r w:rsidR="000937E5">
        <w:rPr>
          <w:rFonts w:ascii="Calibri" w:hAnsi="Calibri" w:cs="Calibri"/>
          <w:b/>
          <w:sz w:val="20"/>
          <w:szCs w:val="20"/>
        </w:rPr>
        <w:t xml:space="preserve"> </w:t>
      </w:r>
      <w:r w:rsidR="00257702">
        <w:rPr>
          <w:rFonts w:ascii="Calibri" w:hAnsi="Calibri" w:cs="Calibri"/>
          <w:b/>
          <w:sz w:val="20"/>
          <w:szCs w:val="20"/>
        </w:rPr>
        <w:t>I</w:t>
      </w:r>
      <w:r w:rsidR="000937E5">
        <w:rPr>
          <w:rFonts w:ascii="Calibri" w:hAnsi="Calibri" w:cs="Calibri"/>
          <w:b/>
          <w:sz w:val="20"/>
          <w:szCs w:val="20"/>
        </w:rPr>
        <w:t>I. IZMJENA I DOPUNA</w:t>
      </w:r>
      <w:r w:rsidR="00257702">
        <w:rPr>
          <w:rFonts w:ascii="Calibri" w:hAnsi="Calibri" w:cs="Calibri"/>
          <w:b/>
          <w:sz w:val="20"/>
          <w:szCs w:val="20"/>
        </w:rPr>
        <w:t xml:space="preserve"> </w:t>
      </w:r>
      <w:r w:rsidR="006B5CCE" w:rsidRPr="00196D0A">
        <w:rPr>
          <w:rFonts w:ascii="Calibri" w:hAnsi="Calibri" w:cs="Calibri"/>
          <w:b/>
          <w:sz w:val="20"/>
          <w:szCs w:val="20"/>
        </w:rPr>
        <w:t xml:space="preserve">FINANCIJSKOG PLANA </w:t>
      </w:r>
    </w:p>
    <w:p w:rsidR="003B6516" w:rsidRPr="00196D0A" w:rsidRDefault="00B93BBE" w:rsidP="00A83F80">
      <w:pPr>
        <w:spacing w:after="0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 2025. GODINU</w:t>
      </w:r>
    </w:p>
    <w:p w:rsidR="006B5CCE" w:rsidRPr="00196D0A" w:rsidRDefault="00C107C8" w:rsidP="006B5CCE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Zavoda za javno zdravstvo Međimurske županije</w:t>
      </w:r>
    </w:p>
    <w:p w:rsidR="00A83F80" w:rsidRPr="00196D0A" w:rsidRDefault="00A83F80" w:rsidP="003E2D5C">
      <w:pPr>
        <w:spacing w:after="0"/>
        <w:rPr>
          <w:rFonts w:ascii="Calibri" w:hAnsi="Calibri" w:cs="Calibri"/>
          <w:b/>
          <w:sz w:val="20"/>
          <w:szCs w:val="20"/>
        </w:rPr>
      </w:pPr>
    </w:p>
    <w:p w:rsidR="00A83F80" w:rsidRPr="00196D0A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UVOD</w:t>
      </w:r>
    </w:p>
    <w:p w:rsidR="00C107C8" w:rsidRPr="00196D0A" w:rsidRDefault="00C107C8" w:rsidP="00C107C8">
      <w:pPr>
        <w:spacing w:after="0"/>
        <w:rPr>
          <w:rFonts w:ascii="Calibri" w:hAnsi="Calibri" w:cs="Calibri"/>
          <w:b/>
          <w:sz w:val="20"/>
          <w:szCs w:val="20"/>
        </w:rPr>
      </w:pPr>
    </w:p>
    <w:p w:rsidR="006B5CCE" w:rsidRPr="00196D0A" w:rsidRDefault="00C107C8" w:rsidP="00C107C8">
      <w:p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DJELOKRUG RADA ZAVODA ZA JAVNO ZDRAVSTVO MEĐIMURSKE ŽUPANIJE</w:t>
      </w:r>
    </w:p>
    <w:p w:rsidR="00C107C8" w:rsidRPr="00196D0A" w:rsidRDefault="00C107C8" w:rsidP="00C107C8">
      <w:pPr>
        <w:spacing w:after="0"/>
        <w:rPr>
          <w:rFonts w:ascii="Calibri" w:hAnsi="Calibri" w:cs="Calibri"/>
          <w:sz w:val="20"/>
          <w:szCs w:val="20"/>
        </w:rPr>
      </w:pP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Zavod za javno zdravstvo Međimurske županije je zdravstvena ustanova organizirana za obavljanje</w:t>
      </w:r>
      <w:r w:rsidR="00E70BF4" w:rsidRPr="00196D0A">
        <w:rPr>
          <w:rFonts w:ascii="Calibri" w:hAnsi="Calibri" w:cs="Calibri"/>
          <w:sz w:val="20"/>
          <w:szCs w:val="20"/>
        </w:rPr>
        <w:t xml:space="preserve"> preventive primarne i specijalističko-dijagnostičke</w:t>
      </w:r>
      <w:r w:rsidRPr="00196D0A">
        <w:rPr>
          <w:rFonts w:ascii="Calibri" w:hAnsi="Calibri" w:cs="Calibri"/>
          <w:sz w:val="20"/>
          <w:szCs w:val="20"/>
        </w:rPr>
        <w:t xml:space="preserve"> javnozdravstvene djelatnosti koja obuhvaća: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epidemiologiju zaraznih bolesti te kroničnih nezaraznih bolesti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kliničke mikrobiologije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školske i adolescentne medicine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javno zdravstvo i promicanje zdravlja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zdravstvenu ekologiju</w:t>
      </w:r>
    </w:p>
    <w:p w:rsidR="00C107C8" w:rsidRPr="00196D0A" w:rsidRDefault="00C107C8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-</w:t>
      </w:r>
      <w:r w:rsidRPr="00196D0A">
        <w:rPr>
          <w:rFonts w:ascii="Calibri" w:hAnsi="Calibri" w:cs="Calibri"/>
          <w:sz w:val="20"/>
          <w:szCs w:val="20"/>
        </w:rPr>
        <w:tab/>
        <w:t>Djelatnost za zaštitu mentalnog zdravlja, prevenciju i izvanbolničko liječenje ovisnosti</w:t>
      </w:r>
    </w:p>
    <w:p w:rsidR="00335C7A" w:rsidRPr="00196D0A" w:rsidRDefault="00335C7A" w:rsidP="00C107C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Javnozdravstvenu djelatnost Zavod obavlja kao javnu službu.</w:t>
      </w: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Zavod za javno zdravstvo Međimurske županije je proračunski korisnik jedinice lokalne i područne (regionalne) samouprave i svojim poslovanjem obavlja zdravstvenu djelatnost na načelima sveobuhvatnosti, kontinuiranosti, dostupnosti i cjelovitog pristupa u primarnoj zdravstvenoj zaštiti, te specijaliziranog pristupa u specijalističko-konzilijarnoj zdravstvenoj zaštiti, i to s osnova:</w:t>
      </w:r>
    </w:p>
    <w:p w:rsidR="00C107C8" w:rsidRPr="00196D0A" w:rsidRDefault="00C107C8" w:rsidP="00C107C8">
      <w:pPr>
        <w:spacing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 xml:space="preserve">A.  sklopljenog Ugovora s Hrvatskim zavodom za zdravstveno osiguranje o provođenju </w:t>
      </w:r>
    </w:p>
    <w:p w:rsidR="00C107C8" w:rsidRPr="00196D0A" w:rsidRDefault="00C107C8" w:rsidP="00C107C8">
      <w:pPr>
        <w:spacing w:after="120"/>
        <w:ind w:left="283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-  primarne zdravstvene zaštite iz obveznog zdravstvenog osiguranja prema vrsti zdravstvene   zaštite: higijensko-epidemiološke, preventivno-odgojnih mjera zdravstvene zaštite školske djece i studenata, provođenje javnog zdravstva i zdravstvena zaštita mentalnog zdravlja, prevencije i izvanbolničkog liječenja ovisnika</w:t>
      </w:r>
    </w:p>
    <w:p w:rsidR="00C107C8" w:rsidRPr="00196D0A" w:rsidRDefault="00C107C8" w:rsidP="00C107C8">
      <w:pPr>
        <w:spacing w:after="120"/>
        <w:ind w:left="283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- specijalističko-dijagnostičke zdravstvene zaštite medicinske mikrobiologije s parazitologijom,</w:t>
      </w:r>
    </w:p>
    <w:p w:rsidR="00C107C8" w:rsidRPr="00196D0A" w:rsidRDefault="00C107C8" w:rsidP="00C107C8">
      <w:pPr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B. općeg akta HZZO-a na ime pružanja zdravstvenih usluga Djelatnosti kliničke mikrobiologije stacionarnim pacijentima Županijske bolnice Čakovec,</w:t>
      </w:r>
    </w:p>
    <w:p w:rsidR="00C107C8" w:rsidRPr="00196D0A" w:rsidRDefault="00C107C8" w:rsidP="00C107C8">
      <w:pPr>
        <w:spacing w:after="120"/>
        <w:jc w:val="both"/>
        <w:rPr>
          <w:rFonts w:ascii="Calibri" w:hAnsi="Calibri" w:cs="Calibri"/>
          <w:sz w:val="20"/>
          <w:szCs w:val="20"/>
          <w:lang w:val="pl-PL"/>
        </w:rPr>
      </w:pPr>
      <w:r w:rsidRPr="00196D0A">
        <w:rPr>
          <w:rFonts w:ascii="Calibri" w:hAnsi="Calibri" w:cs="Calibri"/>
          <w:sz w:val="20"/>
          <w:szCs w:val="20"/>
          <w:lang w:val="pl-PL"/>
        </w:rPr>
        <w:t>C. neposrednog plaćanja zdravstvenih usluga od strane korisnika izvan obveznog odnosno osnovnog zdravstvenog osiguranja,</w:t>
      </w:r>
    </w:p>
    <w:p w:rsidR="004E7E1E" w:rsidRPr="00196D0A" w:rsidRDefault="00C107C8" w:rsidP="0098689C">
      <w:pPr>
        <w:jc w:val="both"/>
        <w:rPr>
          <w:rFonts w:ascii="Calibri" w:hAnsi="Calibri" w:cs="Calibri"/>
          <w:sz w:val="20"/>
          <w:szCs w:val="20"/>
        </w:rPr>
      </w:pPr>
      <w:r w:rsidRPr="00196D0A">
        <w:rPr>
          <w:rFonts w:ascii="Calibri" w:hAnsi="Calibri" w:cs="Calibri"/>
          <w:sz w:val="20"/>
          <w:szCs w:val="20"/>
        </w:rPr>
        <w:t>Na zahtjev osnivača Zavod  aktivno sudjeluje u izradi i provedbi plana zdravstvene zaštite, planova promicanja zdravlja, prevencije te ranog otkrivanja bolesti za područje Međimurske županije.</w:t>
      </w:r>
    </w:p>
    <w:p w:rsidR="004E7E1E" w:rsidRPr="00196D0A" w:rsidRDefault="004E7E1E" w:rsidP="003E2D5C">
      <w:pPr>
        <w:spacing w:after="0"/>
        <w:rPr>
          <w:rFonts w:ascii="Calibri" w:hAnsi="Calibri" w:cs="Calibri"/>
          <w:sz w:val="20"/>
          <w:szCs w:val="20"/>
        </w:rPr>
      </w:pPr>
    </w:p>
    <w:p w:rsidR="004E7E1E" w:rsidRPr="00196D0A" w:rsidRDefault="004E7E1E" w:rsidP="003E2D5C">
      <w:pPr>
        <w:spacing w:after="0"/>
        <w:rPr>
          <w:rFonts w:ascii="Calibri" w:hAnsi="Calibri" w:cs="Calibri"/>
          <w:sz w:val="20"/>
          <w:szCs w:val="20"/>
        </w:rPr>
      </w:pPr>
    </w:p>
    <w:p w:rsidR="000C6247" w:rsidRPr="00196D0A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Calibri" w:hAnsi="Calibri" w:cs="Calibri"/>
          <w:b/>
          <w:sz w:val="20"/>
          <w:szCs w:val="20"/>
        </w:rPr>
      </w:pPr>
      <w:r w:rsidRPr="00196D0A">
        <w:rPr>
          <w:rFonts w:ascii="Calibri" w:hAnsi="Calibri" w:cs="Calibri"/>
          <w:b/>
          <w:sz w:val="20"/>
          <w:szCs w:val="20"/>
        </w:rPr>
        <w:t>OBRAZLOŽENJE PROGRAMA</w:t>
      </w:r>
    </w:p>
    <w:p w:rsidR="000C6247" w:rsidRPr="00196D0A" w:rsidRDefault="000C6247" w:rsidP="003E2D5C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F72F50" w:rsidRPr="00196D0A" w:rsidTr="00F566CD">
        <w:trPr>
          <w:trHeight w:val="26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D5C" w:rsidRPr="00196D0A" w:rsidRDefault="0094009E" w:rsidP="006B5C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>PROGRAM</w:t>
            </w:r>
            <w:r w:rsidR="00884AE1" w:rsidRPr="00196D0A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</w:rPr>
              <w:t xml:space="preserve">: </w:t>
            </w:r>
            <w:r w:rsidR="00884AE1" w:rsidRPr="00196D0A">
              <w:rPr>
                <w:rFonts w:ascii="Calibri" w:eastAsia="Times New Roman" w:hAnsi="Calibri" w:cs="Calibri"/>
                <w:b/>
                <w:bCs/>
                <w:iCs/>
                <w:sz w:val="20"/>
                <w:szCs w:val="20"/>
              </w:rPr>
              <w:t>PROVOĐENJE ZDRAVSTVENE ZAŠTITE</w:t>
            </w:r>
          </w:p>
        </w:tc>
      </w:tr>
      <w:tr w:rsidR="000C6247" w:rsidRPr="00196D0A" w:rsidTr="00F566CD">
        <w:trPr>
          <w:trHeight w:val="57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6247" w:rsidRPr="00196D0A" w:rsidRDefault="000C6247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Opis programa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884AE1" w:rsidRPr="00196D0A" w:rsidRDefault="00884AE1" w:rsidP="00884AE1">
            <w:pPr>
              <w:pStyle w:val="Bezproreda"/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Financijskim planom sredstva su planirana za provođenje programa zdravstvene zaštite, a sas</w:t>
            </w:r>
            <w:r w:rsidR="00436FFB" w:rsidRPr="00196D0A">
              <w:rPr>
                <w:rFonts w:ascii="Calibri" w:hAnsi="Calibri" w:cs="Calibri"/>
              </w:rPr>
              <w:t xml:space="preserve">toji se od </w:t>
            </w:r>
            <w:r w:rsidR="008C10C4" w:rsidRPr="00196D0A">
              <w:rPr>
                <w:rFonts w:ascii="Calibri" w:hAnsi="Calibri" w:cs="Calibri"/>
              </w:rPr>
              <w:t>sljedećih aktivnosti:</w:t>
            </w:r>
          </w:p>
          <w:p w:rsidR="008C10C4" w:rsidRPr="00196D0A" w:rsidRDefault="008C10C4" w:rsidP="003D5F2B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8C10C4" w:rsidRPr="000937E5" w:rsidRDefault="008C10C4" w:rsidP="000937E5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884AE1" w:rsidRPr="00196D0A">
              <w:rPr>
                <w:rFonts w:ascii="Calibri" w:hAnsi="Calibri" w:cs="Calibri"/>
                <w:color w:val="000000" w:themeColor="text1"/>
              </w:rPr>
              <w:t>Aktivnost</w:t>
            </w:r>
            <w:r w:rsidR="000937E5">
              <w:rPr>
                <w:rFonts w:ascii="Calibri" w:hAnsi="Calibri" w:cs="Calibri"/>
                <w:color w:val="000000" w:themeColor="text1"/>
              </w:rPr>
              <w:t xml:space="preserve"> 100911</w:t>
            </w:r>
            <w:r w:rsidR="005A443A"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884AE1" w:rsidRPr="00196D0A">
              <w:rPr>
                <w:rFonts w:ascii="Calibri" w:hAnsi="Calibri" w:cs="Calibri"/>
                <w:color w:val="000000" w:themeColor="text1"/>
              </w:rPr>
              <w:t xml:space="preserve">: Redovna </w:t>
            </w:r>
            <w:r w:rsidR="004E7E1E" w:rsidRPr="00196D0A">
              <w:rPr>
                <w:rFonts w:ascii="Calibri" w:hAnsi="Calibri" w:cs="Calibri"/>
                <w:color w:val="000000" w:themeColor="text1"/>
              </w:rPr>
              <w:t>djelatnost</w:t>
            </w:r>
            <w:r w:rsidR="003E2788" w:rsidRPr="00196D0A">
              <w:rPr>
                <w:rFonts w:ascii="Calibri" w:hAnsi="Calibri" w:cs="Calibri"/>
                <w:color w:val="000000" w:themeColor="text1"/>
              </w:rPr>
              <w:t xml:space="preserve"> Zavoda za javno zdravstvo</w:t>
            </w:r>
            <w:r w:rsidR="000937E5">
              <w:rPr>
                <w:rFonts w:ascii="Calibri" w:hAnsi="Calibri" w:cs="Calibri"/>
                <w:color w:val="000000" w:themeColor="text1"/>
              </w:rPr>
              <w:t xml:space="preserve"> (izvor financiranja vlastiti i ostali prihodi)</w:t>
            </w:r>
          </w:p>
          <w:p w:rsidR="00360259" w:rsidRPr="00196D0A" w:rsidRDefault="000937E5" w:rsidP="00360259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Aktivnost 100901</w:t>
            </w:r>
            <w:r w:rsidR="00360259" w:rsidRPr="00196D0A">
              <w:rPr>
                <w:rFonts w:ascii="Calibri" w:hAnsi="Calibri" w:cs="Calibri"/>
                <w:color w:val="000000" w:themeColor="text1"/>
              </w:rPr>
              <w:t>: Decentralizirane funkcije u zdravstvu-opremanje i održavanje</w:t>
            </w:r>
          </w:p>
          <w:p w:rsidR="00436FFB" w:rsidRPr="00196D0A" w:rsidRDefault="000937E5" w:rsidP="00451ACC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Aktivnost </w:t>
            </w:r>
            <w:r w:rsidR="00436FFB" w:rsidRPr="00196D0A">
              <w:rPr>
                <w:rFonts w:ascii="Calibri" w:hAnsi="Calibri" w:cs="Calibri"/>
                <w:color w:val="000000" w:themeColor="text1"/>
              </w:rPr>
              <w:t xml:space="preserve">100904: </w:t>
            </w:r>
            <w:proofErr w:type="spellStart"/>
            <w:r w:rsidR="00436FFB" w:rsidRPr="00196D0A">
              <w:rPr>
                <w:rFonts w:ascii="Calibri" w:hAnsi="Calibri" w:cs="Calibri"/>
                <w:color w:val="000000" w:themeColor="text1"/>
              </w:rPr>
              <w:t>Monitoring</w:t>
            </w:r>
            <w:proofErr w:type="spellEnd"/>
            <w:r w:rsidR="00436FFB" w:rsidRPr="00196D0A">
              <w:rPr>
                <w:rFonts w:ascii="Calibri" w:hAnsi="Calibri" w:cs="Calibri"/>
                <w:color w:val="000000" w:themeColor="text1"/>
              </w:rPr>
              <w:t xml:space="preserve"> </w:t>
            </w:r>
            <w:proofErr w:type="spellStart"/>
            <w:r w:rsidR="00436FFB" w:rsidRPr="00196D0A">
              <w:rPr>
                <w:rFonts w:ascii="Calibri" w:hAnsi="Calibri" w:cs="Calibri"/>
                <w:color w:val="000000" w:themeColor="text1"/>
              </w:rPr>
              <w:t>vodoobskrbnog</w:t>
            </w:r>
            <w:proofErr w:type="spellEnd"/>
            <w:r w:rsidR="00436FFB" w:rsidRPr="00196D0A">
              <w:rPr>
                <w:rFonts w:ascii="Calibri" w:hAnsi="Calibri" w:cs="Calibri"/>
                <w:color w:val="000000" w:themeColor="text1"/>
              </w:rPr>
              <w:t xml:space="preserve"> sustava</w:t>
            </w:r>
          </w:p>
          <w:p w:rsidR="00436FFB" w:rsidRDefault="000937E5" w:rsidP="00436FFB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Aktivnost 100917</w:t>
            </w:r>
            <w:r w:rsidR="00436FFB" w:rsidRPr="00196D0A">
              <w:rPr>
                <w:rFonts w:ascii="Calibri" w:hAnsi="Calibri" w:cs="Calibri"/>
                <w:color w:val="000000" w:themeColor="text1"/>
              </w:rPr>
              <w:t xml:space="preserve">: </w:t>
            </w:r>
            <w:proofErr w:type="spellStart"/>
            <w:r w:rsidR="00436FFB" w:rsidRPr="00196D0A">
              <w:rPr>
                <w:rFonts w:ascii="Calibri" w:hAnsi="Calibri" w:cs="Calibri"/>
                <w:color w:val="000000" w:themeColor="text1"/>
              </w:rPr>
              <w:t>Monitoring</w:t>
            </w:r>
            <w:proofErr w:type="spellEnd"/>
            <w:r w:rsidR="00436FFB" w:rsidRPr="00196D0A">
              <w:rPr>
                <w:rFonts w:ascii="Calibri" w:hAnsi="Calibri" w:cs="Calibri"/>
                <w:color w:val="000000" w:themeColor="text1"/>
              </w:rPr>
              <w:t xml:space="preserve">  invazivnih vrsta komaraca</w:t>
            </w:r>
          </w:p>
          <w:p w:rsidR="00127A5E" w:rsidRPr="00196D0A" w:rsidRDefault="000937E5" w:rsidP="00436FFB">
            <w:pPr>
              <w:pStyle w:val="Bezproreda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Aktivnost 100925</w:t>
            </w:r>
            <w:r w:rsidR="00127A5E">
              <w:rPr>
                <w:rFonts w:ascii="Calibri" w:hAnsi="Calibri" w:cs="Calibri"/>
                <w:color w:val="000000" w:themeColor="text1"/>
              </w:rPr>
              <w:t xml:space="preserve"> Promocija preventivno javno zdravstvenih programa</w:t>
            </w:r>
          </w:p>
          <w:p w:rsidR="00884AE1" w:rsidRDefault="00884AE1" w:rsidP="00071CDD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0937E5" w:rsidRDefault="000937E5" w:rsidP="00071CDD">
            <w:pPr>
              <w:pStyle w:val="Bezproreda"/>
              <w:jc w:val="both"/>
              <w:rPr>
                <w:rFonts w:ascii="Calibri" w:hAnsi="Calibri" w:cs="Calibri"/>
              </w:rPr>
            </w:pPr>
          </w:p>
          <w:p w:rsidR="000937E5" w:rsidRPr="000937E5" w:rsidRDefault="000937E5" w:rsidP="00071CDD">
            <w:pPr>
              <w:pStyle w:val="Bezproreda"/>
              <w:jc w:val="both"/>
              <w:rPr>
                <w:rFonts w:ascii="Calibri" w:hAnsi="Calibri" w:cs="Calibri"/>
                <w:b/>
              </w:rPr>
            </w:pPr>
          </w:p>
          <w:p w:rsidR="000937E5" w:rsidRPr="000937E5" w:rsidRDefault="000937E5" w:rsidP="000937E5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0937E5">
              <w:rPr>
                <w:rFonts w:ascii="Calibri" w:hAnsi="Calibri" w:cs="Calibri"/>
                <w:b/>
                <w:color w:val="FF0000"/>
              </w:rPr>
              <w:t>Aktivnost 100911 : Redovna djelatnost Zavoda za javno zdravstvo (izvor financiranja vlastiti i ostali prihodi)</w:t>
            </w:r>
          </w:p>
          <w:p w:rsidR="00884AE1" w:rsidRPr="00196D0A" w:rsidRDefault="00884AE1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C107C8" w:rsidRPr="00196D0A" w:rsidRDefault="008C10C4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</w:t>
            </w:r>
            <w:r w:rsidR="005227F1" w:rsidRPr="00196D0A">
              <w:rPr>
                <w:rFonts w:ascii="Calibri" w:hAnsi="Calibri" w:cs="Calibri"/>
                <w:sz w:val="20"/>
                <w:szCs w:val="20"/>
              </w:rPr>
              <w:t>edovna djelatnost odnosi se na ukupno poslovanje Zavoda za javno zdravstvo Međimurske županije.</w:t>
            </w:r>
          </w:p>
          <w:p w:rsidR="005227F1" w:rsidRPr="00196D0A" w:rsidRDefault="005227F1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 Zavod za javno zdravstvo Međimurske županije obavlja sljedeće poslove i programe:</w:t>
            </w:r>
          </w:p>
          <w:p w:rsidR="00205C62" w:rsidRPr="00196D0A" w:rsidRDefault="00205C62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zdravstvenog prosvjećivanja s promicanjem zdravlja i prevencije bolesti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provodi specifičnu i preventivnu zdravstvenu zaštitu djece i mladeži,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 osobito u osnovnim i srednjim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školama te visokim učilištima na svom području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prati, proučava, evaluira i izvješćuje o zdravstvenim potrebama i f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unkcionalnoj onesposobljenosti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starijih ljudi te predlaže zdravstvene mjere za svoje područje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prikuplja, kontrolira i analizira statistička izvješća iz područja zdravstva, uključujući bolesti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ovisnosti, na razini jedinica područne (regionalne) samouprave za potrebe Hrvatskog zavoda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javno zdravstvo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na zahtjev župana odnosno gradonačelnika prati i ocjenjuje zdravstveno stanje stanovniš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tva na tom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području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kontinuirano provodi mjere higijensko-epidemiološke zaštite s epidemiološ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kom analizom stanja na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području jedinice područne (regionalne) samouprave i po potrebi pro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vodi protuepidemijske mjere te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nadzire provođenje obveznih imunizacija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provodi mjere gerontološke zdravstvene zaštite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analizira epidemiološko stanje, planira, predlaže i sudjeluje u provođenju mjera i aktivnosti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sprječavanje, rano otkrivanje i suzbijanje bolesti ovisnosti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provodi zaštitu mentalnog zdravlja i izvanbolničko liječenje ovisnosti, što obuhvać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a prevenciju i rano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otkrivanje svih psihičkih poremećaja, dijagnostiku, liječenje i rehabilitaciju svih 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oblika ovisnosti, kao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i mjere očuvanja mentalnog zdravlja u zajednici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surađuje sa zdravstvenim i drugim ustanovama i zdravstvenim radni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cima u provedbi dijagnostike i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liječenja bolesti ovisnosti te rehabilitacije i društvene integracije ovisnika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 provedbu mjera dezinfekcije, dezinsekcije i deratizacije te provodi preventivne 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protuepidemijske postupke dezinfekcije, dezinsekcije i deratizacije za područje jedinice područ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ne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obavlja mikrobiološku djelatnost od interesa za jedinicu 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prati, proučava, analizira i ocjenjuje zdravstvenu ispravnost vode za ljudsku potrošnju, vode za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rekreaciju i fizikalnu terapiju, površinske i otpadne vode, stanje vodoopskrbe te zdravstvenu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ispravnost namirnica i predmeta opće uporabe za područje jedinice područne (regionalne)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sudjeluje u izradi i provedbi pojedinih programa zdravstvene zaštite u izvanrednim prilikama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prati, analizira i ocjenjuje utjecaj okoliša i hrane na zdravstveno stanje stanovništva jedinice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sudjeluje u planiranju, predlaganju i provođenju mjera promicanja tjelesnog, mentalnog 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spolnog/reproduktivnog zdravlja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sudjeluje u planiranju, predlaganju i provođenju mjera za sprečavanje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, rano otkrivanje i suzbijanje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kroničnih nezaraznih bolesti, uključujući bolesti ovisnosti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obavlja raspodjelu obveznih cjepiva ordinacijama na primarnoj raz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ini zdravstvene djelatnosti na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području jedinice područne (regionalne) samouprave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– može obavljati stručne poslove zaštite okoliša sukladno posebnim propisima vezano uz zaštitu </w:t>
            </w:r>
          </w:p>
          <w:p w:rsidR="00C107C8" w:rsidRPr="00196D0A" w:rsidRDefault="00C107C8" w:rsidP="00C107C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 xml:space="preserve">okoliša i zaštitu zraka </w:t>
            </w:r>
          </w:p>
          <w:p w:rsidR="00C107C8" w:rsidRPr="00196D0A" w:rsidRDefault="00C107C8" w:rsidP="00557376">
            <w:pPr>
              <w:pStyle w:val="Default"/>
              <w:rPr>
                <w:rFonts w:ascii="Calibri" w:eastAsiaTheme="minorHAns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– obavlja i ostale poslove za potrebe obavljanja javnozdravstvene</w:t>
            </w:r>
            <w:r w:rsidR="00557376" w:rsidRPr="00196D0A">
              <w:rPr>
                <w:rFonts w:ascii="Calibri" w:hAnsi="Calibri" w:cs="Calibri"/>
                <w:sz w:val="20"/>
                <w:szCs w:val="20"/>
              </w:rPr>
              <w:t xml:space="preserve"> djelatnosti sukladno posebnim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propisima</w:t>
            </w:r>
          </w:p>
          <w:p w:rsidR="000C6247" w:rsidRPr="00196D0A" w:rsidRDefault="000C6247" w:rsidP="00D342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E2D5C" w:rsidRPr="00196D0A" w:rsidTr="00F566CD">
        <w:trPr>
          <w:trHeight w:val="576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7429" w:rsidRPr="00196D0A" w:rsidRDefault="003E2D5C" w:rsidP="002F74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lastRenderedPageBreak/>
              <w:t>Zakonske i druge pravne osnove programa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:</w:t>
            </w:r>
          </w:p>
          <w:p w:rsidR="00557376" w:rsidRPr="00196D0A" w:rsidRDefault="00557376" w:rsidP="00557376">
            <w:pPr>
              <w:pStyle w:val="Bezproreda"/>
              <w:jc w:val="both"/>
              <w:rPr>
                <w:rFonts w:ascii="Calibri" w:hAnsi="Calibri" w:cs="Calibri"/>
                <w:b/>
              </w:rPr>
            </w:pP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obveznom zdravstvenom osiguranju,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zdravstvenoj zaštiti,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dobrovoljnom zdravstvenom osiguranju,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kvaliteti zdravstvene zaštite i socijalne skrbi,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standardima i normativima prava na zdravstvenu zaštitu iz obveznog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pravima, uvjetima i načinu ostvarivanja prava iz obveznog zdravstvenog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radu,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plaćama u javnim službama,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Uredba o nazivima radnih mjesta i koeficijentima složenosti poslova u javnim službama Temeljni KU za javne službe,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KU za djelatnost zdravstva i zdravstvenog osiguranja,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lastRenderedPageBreak/>
              <w:t>Zakon o zaštiti na radu,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proračunu,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Zakon o javnoj nabavi,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Pravilnik o proračunskom računovodstvu i računskom planu,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Uredba o načinu izračuna iznosa pomoći izravnanja za decentralizirane funkcije jedinica lokalne i područne (regionalne) samouprave</w:t>
            </w:r>
          </w:p>
          <w:p w:rsidR="00557376" w:rsidRPr="00196D0A" w:rsidRDefault="00557376" w:rsidP="00557376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>Odluka o minimalnim financijskim standardima za decentralizirane funkcije</w:t>
            </w:r>
          </w:p>
          <w:p w:rsidR="0094009E" w:rsidRPr="00196D0A" w:rsidRDefault="00557376" w:rsidP="00EA04B8">
            <w:pPr>
              <w:pStyle w:val="Bezproreda"/>
              <w:numPr>
                <w:ilvl w:val="0"/>
                <w:numId w:val="5"/>
              </w:numPr>
              <w:jc w:val="both"/>
              <w:rPr>
                <w:rFonts w:ascii="Calibri" w:hAnsi="Calibri" w:cs="Calibri"/>
              </w:rPr>
            </w:pPr>
            <w:r w:rsidRPr="00196D0A">
              <w:rPr>
                <w:rFonts w:ascii="Calibri" w:hAnsi="Calibri" w:cs="Calibri"/>
              </w:rPr>
              <w:t xml:space="preserve">ostali važeći zakoni, uredbe i </w:t>
            </w:r>
            <w:proofErr w:type="spellStart"/>
            <w:r w:rsidRPr="00196D0A">
              <w:rPr>
                <w:rFonts w:ascii="Calibri" w:hAnsi="Calibri" w:cs="Calibri"/>
              </w:rPr>
              <w:t>podzakonski</w:t>
            </w:r>
            <w:proofErr w:type="spellEnd"/>
            <w:r w:rsidRPr="00196D0A">
              <w:rPr>
                <w:rFonts w:ascii="Calibri" w:hAnsi="Calibri" w:cs="Calibri"/>
              </w:rPr>
              <w:t xml:space="preserve"> propisi</w:t>
            </w:r>
          </w:p>
        </w:tc>
      </w:tr>
      <w:tr w:rsidR="003E2D5C" w:rsidRPr="00196D0A" w:rsidTr="00F566CD">
        <w:trPr>
          <w:trHeight w:val="584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7429" w:rsidRPr="00196D0A" w:rsidRDefault="002F7429" w:rsidP="003E2D5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lastRenderedPageBreak/>
              <w:t>Ciljevi pr</w:t>
            </w:r>
            <w:r w:rsidR="002577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ovedbe programa u </w:t>
            </w:r>
            <w:r w:rsidR="00A445E2"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 202</w:t>
            </w:r>
            <w:r w:rsidR="00BF1063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5</w:t>
            </w:r>
            <w:r w:rsidR="0025770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. godini:</w:t>
            </w: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i/>
                <w:sz w:val="20"/>
                <w:szCs w:val="20"/>
              </w:rPr>
            </w:pP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Glavni cilj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je očuvanje i unapređenje zdravlja te sprječavanje i rano otkrivanje bolesti.</w:t>
            </w: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557376" w:rsidRPr="00196D0A" w:rsidRDefault="0055737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i/>
                <w:sz w:val="20"/>
                <w:szCs w:val="20"/>
              </w:rPr>
              <w:t>Specifični ciljevi su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: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promicanje zdravlja i prevencija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rano otkrivanje i sprečavanje širenja zaraznih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rano otkrivanje nezaraznih bolesti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unapređenje i zaštita mentalnog zdravlja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praćenje zdravstvenog stanja i unapređenje zdravlja djece i mladeži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osig</w:t>
            </w:r>
            <w:r w:rsidR="00884AE1" w:rsidRPr="00196D0A">
              <w:rPr>
                <w:rFonts w:ascii="Calibri" w:hAnsi="Calibri" w:cs="Calibri"/>
                <w:sz w:val="20"/>
                <w:szCs w:val="20"/>
              </w:rPr>
              <w:t xml:space="preserve">uranje brze i pouzdane 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 dijagnostike infekcija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praćenje stanja i osiguravanje zdravog okoliša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uvođenje i osiguranje sustava kvalitete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potpuna informatizacija djelatnosti Zavoda</w:t>
            </w:r>
          </w:p>
          <w:p w:rsidR="00557376" w:rsidRPr="00196D0A" w:rsidRDefault="00557376" w:rsidP="00557376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trajno stručno usavršavanje zaposlenika</w:t>
            </w:r>
          </w:p>
          <w:p w:rsidR="00884AE1" w:rsidRPr="00196D0A" w:rsidRDefault="00884AE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906BF" w:rsidRPr="00196D0A" w:rsidRDefault="00A906BF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98689C" w:rsidRPr="00196D0A" w:rsidRDefault="0098689C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Povećati broj cijepljenih osoba protiv HPV-a</w:t>
            </w:r>
          </w:p>
          <w:p w:rsidR="005308B7" w:rsidRPr="00196D0A" w:rsidRDefault="005308B7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EA04B8" w:rsidRPr="00196D0A" w:rsidRDefault="005308B7" w:rsidP="0098689C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Kontinuiranim nadzorom nad provedbom cijepljenja, edukacijom školske djece te individualnim savjetovanjem osoba koje odbijaju cijepljenje postižu se željeni rezultati</w:t>
            </w:r>
            <w:r w:rsidR="00A906BF" w:rsidRPr="00196D0A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A04B8" w:rsidRPr="00196D0A" w:rsidRDefault="00EA04B8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A906BF" w:rsidRPr="00196D0A" w:rsidRDefault="00A906BF" w:rsidP="0098689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6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18"/>
              <w:gridCol w:w="1278"/>
              <w:gridCol w:w="1142"/>
              <w:gridCol w:w="1210"/>
              <w:gridCol w:w="1100"/>
              <w:gridCol w:w="1210"/>
              <w:gridCol w:w="1210"/>
              <w:gridCol w:w="1210"/>
            </w:tblGrid>
            <w:tr w:rsidR="0098689C" w:rsidRPr="00196D0A" w:rsidTr="005B0665">
              <w:tc>
                <w:tcPr>
                  <w:tcW w:w="131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7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C83DD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</w:t>
                  </w:r>
                  <w:r w:rsidR="0098689C"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25770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Povećanje/smanjenje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0937E5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</w:t>
                  </w:r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I.Izmjene</w:t>
                  </w:r>
                  <w:proofErr w:type="spellEnd"/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 i dopune </w:t>
                  </w:r>
                  <w:proofErr w:type="spellStart"/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fin.plana</w:t>
                  </w:r>
                  <w:proofErr w:type="spellEnd"/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 za 2025.g.</w:t>
                  </w:r>
                </w:p>
              </w:tc>
            </w:tr>
            <w:tr w:rsidR="0098689C" w:rsidRPr="00196D0A" w:rsidTr="005B0665">
              <w:tc>
                <w:tcPr>
                  <w:tcW w:w="1318" w:type="dxa"/>
                  <w:shd w:val="clear" w:color="000000" w:fill="auto"/>
                </w:tcPr>
                <w:p w:rsidR="0098689C" w:rsidRPr="00196D0A" w:rsidRDefault="0098689C" w:rsidP="00D3423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Postotak </w:t>
                  </w:r>
                  <w:r w:rsidR="005308B7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procijepljenosti školske djece </w:t>
                  </w: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protiv virusa HPV</w:t>
                  </w:r>
                </w:p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278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Povećanjem postotka procijepljenosti smanjuje se rizik širenja zarazne bolesti</w:t>
                  </w:r>
                </w:p>
              </w:tc>
              <w:tc>
                <w:tcPr>
                  <w:tcW w:w="1142" w:type="dxa"/>
                  <w:shd w:val="clear" w:color="000000" w:fill="auto"/>
                </w:tcPr>
                <w:p w:rsidR="0098689C" w:rsidRPr="00196D0A" w:rsidRDefault="005308B7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BF1063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    54%</w:t>
                  </w:r>
                </w:p>
              </w:tc>
              <w:tc>
                <w:tcPr>
                  <w:tcW w:w="1100" w:type="dxa"/>
                  <w:shd w:val="clear" w:color="000000" w:fill="auto"/>
                </w:tcPr>
                <w:p w:rsidR="0098689C" w:rsidRPr="00196D0A" w:rsidRDefault="0098689C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Zavod 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BF1063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60</w:t>
                  </w:r>
                  <w:r w:rsidR="00E1371E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25770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 0</w:t>
                  </w:r>
                </w:p>
              </w:tc>
              <w:tc>
                <w:tcPr>
                  <w:tcW w:w="1210" w:type="dxa"/>
                  <w:shd w:val="clear" w:color="000000" w:fill="auto"/>
                </w:tcPr>
                <w:p w:rsidR="0098689C" w:rsidRPr="00196D0A" w:rsidRDefault="0025770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>6</w:t>
                  </w:r>
                  <w:r w:rsidR="00BF1063">
                    <w:rPr>
                      <w:rFonts w:ascii="Calibri" w:hAnsi="Calibri" w:cs="Calibri"/>
                      <w:sz w:val="16"/>
                      <w:szCs w:val="16"/>
                    </w:rPr>
                    <w:t>0</w:t>
                  </w:r>
                  <w:r w:rsidR="00E1371E" w:rsidRPr="00196D0A">
                    <w:rPr>
                      <w:rFonts w:ascii="Calibri" w:hAnsi="Calibri" w:cs="Calibri"/>
                      <w:sz w:val="16"/>
                      <w:szCs w:val="16"/>
                    </w:rPr>
                    <w:t xml:space="preserve"> </w:t>
                  </w:r>
                  <w:r w:rsidR="0098689C" w:rsidRPr="00196D0A">
                    <w:rPr>
                      <w:rFonts w:ascii="Calibri" w:hAnsi="Calibri" w:cs="Calibri"/>
                      <w:sz w:val="16"/>
                      <w:szCs w:val="16"/>
                    </w:rPr>
                    <w:t>%</w:t>
                  </w:r>
                </w:p>
              </w:tc>
            </w:tr>
          </w:tbl>
          <w:p w:rsidR="00C800A9" w:rsidRPr="00196D0A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C5EC0" w:rsidRPr="00196D0A" w:rsidRDefault="002C5EC0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C800A9" w:rsidRPr="00196D0A" w:rsidRDefault="00C800A9" w:rsidP="00C800A9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Povećanje odaziva na probir za rak dojke i debelog crijeva</w:t>
            </w:r>
          </w:p>
          <w:p w:rsidR="00C800A9" w:rsidRPr="00196D0A" w:rsidRDefault="00C800A9" w:rsidP="00C800A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257702" w:rsidRPr="00196D0A" w:rsidTr="00257702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257702" w:rsidRPr="00196D0A" w:rsidRDefault="0025770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D34235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7702" w:rsidRPr="00196D0A" w:rsidRDefault="00257702" w:rsidP="00071CD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Povećanje/smanjenje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7702" w:rsidRPr="00196D0A" w:rsidRDefault="000937E5" w:rsidP="00071CD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</w:t>
                  </w:r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I.Izmjene</w:t>
                  </w:r>
                  <w:proofErr w:type="spellEnd"/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 i dopune </w:t>
                  </w:r>
                  <w:proofErr w:type="spellStart"/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fin.plana</w:t>
                  </w:r>
                  <w:proofErr w:type="spellEnd"/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 za 2025.g.</w:t>
                  </w:r>
                </w:p>
              </w:tc>
            </w:tr>
            <w:tr w:rsidR="00257702" w:rsidRPr="00196D0A" w:rsidTr="00D34235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Odaziv na probir za rak dojke (D), debelog crijeva (DC) 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Nastavak provedbe programa ranog otkrivanja raka i praćenje broja novootkrivenih malignih oboljenja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udio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Default="00257702" w:rsidP="004F59B1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74% (D)</w:t>
                  </w:r>
                </w:p>
                <w:p w:rsidR="00257702" w:rsidRPr="00196D0A" w:rsidRDefault="00257702" w:rsidP="004F59B1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32% (DC)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D3423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7702" w:rsidRDefault="00257702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77% (D)</w:t>
                  </w:r>
                </w:p>
                <w:p w:rsidR="00257702" w:rsidRDefault="00257702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35 (DC)</w:t>
                  </w:r>
                </w:p>
                <w:p w:rsidR="00257702" w:rsidRDefault="00257702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7702" w:rsidRDefault="00257702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  <w:t xml:space="preserve">          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7702" w:rsidRDefault="00257702" w:rsidP="00257702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77% (D)</w:t>
                  </w:r>
                </w:p>
                <w:p w:rsidR="00257702" w:rsidRDefault="00257702" w:rsidP="00257702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35 (DC)</w:t>
                  </w:r>
                </w:p>
                <w:p w:rsidR="00257702" w:rsidRDefault="00257702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C800A9" w:rsidRDefault="00C800A9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071CDD" w:rsidRDefault="00071CDD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27A5E" w:rsidRPr="002C5EC0" w:rsidRDefault="00127A5E" w:rsidP="00127A5E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C5EC0">
              <w:rPr>
                <w:rFonts w:cstheme="minorHAnsi"/>
                <w:b/>
                <w:color w:val="000000" w:themeColor="text1"/>
                <w:sz w:val="20"/>
                <w:szCs w:val="20"/>
              </w:rPr>
              <w:lastRenderedPageBreak/>
              <w:t>Odaziv na Nacionalni program ranog otkrivanja raka dojke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</w:p>
          <w:p w:rsidR="00127A5E" w:rsidRPr="00C417F4" w:rsidRDefault="00127A5E" w:rsidP="00127A5E">
            <w:pPr>
              <w:jc w:val="both"/>
              <w:rPr>
                <w:sz w:val="20"/>
                <w:szCs w:val="20"/>
              </w:rPr>
            </w:pPr>
            <w:r w:rsidRPr="00C417F4">
              <w:rPr>
                <w:sz w:val="20"/>
                <w:szCs w:val="20"/>
              </w:rPr>
              <w:t>U 8. krugu</w:t>
            </w:r>
            <w:r>
              <w:rPr>
                <w:sz w:val="20"/>
                <w:szCs w:val="20"/>
              </w:rPr>
              <w:t>,</w:t>
            </w:r>
            <w:r w:rsidRPr="00C417F4">
              <w:rPr>
                <w:sz w:val="20"/>
                <w:szCs w:val="20"/>
              </w:rPr>
              <w:t xml:space="preserve"> koji je započeo 22.03.2023. te završio 30.03.2025. godine</w:t>
            </w:r>
            <w:r>
              <w:rPr>
                <w:sz w:val="20"/>
                <w:szCs w:val="20"/>
              </w:rPr>
              <w:t>,</w:t>
            </w:r>
            <w:r w:rsidRPr="00C417F4">
              <w:rPr>
                <w:sz w:val="20"/>
                <w:szCs w:val="20"/>
              </w:rPr>
              <w:t xml:space="preserve"> u Međimurskoj županiji postigli smo odaziv od 78,4%, što je više nego ciljani odaziv za 2025. g. (77%). </w:t>
            </w:r>
          </w:p>
          <w:p w:rsidR="00127A5E" w:rsidRPr="00C417F4" w:rsidRDefault="00127A5E" w:rsidP="00127A5E">
            <w:pPr>
              <w:jc w:val="both"/>
              <w:rPr>
                <w:sz w:val="20"/>
                <w:szCs w:val="20"/>
              </w:rPr>
            </w:pPr>
            <w:r w:rsidRPr="00C417F4">
              <w:rPr>
                <w:sz w:val="20"/>
                <w:szCs w:val="20"/>
              </w:rPr>
              <w:t xml:space="preserve">Novi, 9. ciklus je započeo 31.03.2025.g., u kojem će se pozivati osobe rođene od 1955.-1976. godine (od 49 – 70 godina). Do sada smo poslali ukupno 3.834 poziva (termini do 1.9.2025.g.), a upisana su 1352 </w:t>
            </w:r>
            <w:proofErr w:type="spellStart"/>
            <w:r w:rsidRPr="00C417F4">
              <w:rPr>
                <w:sz w:val="20"/>
                <w:szCs w:val="20"/>
              </w:rPr>
              <w:t>mamografska</w:t>
            </w:r>
            <w:proofErr w:type="spellEnd"/>
            <w:r w:rsidRPr="00C417F4">
              <w:rPr>
                <w:sz w:val="20"/>
                <w:szCs w:val="20"/>
              </w:rPr>
              <w:t xml:space="preserve"> nalaza)</w:t>
            </w:r>
            <w:r>
              <w:rPr>
                <w:sz w:val="20"/>
                <w:szCs w:val="20"/>
              </w:rPr>
              <w:t xml:space="preserve"> te </w:t>
            </w:r>
            <w:r w:rsidRPr="00C417F4">
              <w:rPr>
                <w:sz w:val="20"/>
                <w:szCs w:val="20"/>
              </w:rPr>
              <w:t>stoga odaziv iznosi 48%. Taj odaziv je apsolutno nerealan, jer neke osobe kojima je poslan poziv niti nisu imale priliku obaviti mamografiju, a neki nalazi još nisu upisani budući se nalazi upisuju u programsku podršku u roku od 2-3 tjedna nakon snimanja. Nešto realniji odaziv je samo za dva nova godišta uključena u ovaj krug (</w:t>
            </w:r>
            <w:proofErr w:type="spellStart"/>
            <w:r w:rsidRPr="00C417F4">
              <w:rPr>
                <w:sz w:val="20"/>
                <w:szCs w:val="20"/>
              </w:rPr>
              <w:t>rođ</w:t>
            </w:r>
            <w:proofErr w:type="spellEnd"/>
            <w:r w:rsidRPr="00C417F4">
              <w:rPr>
                <w:sz w:val="20"/>
                <w:szCs w:val="20"/>
              </w:rPr>
              <w:t xml:space="preserve">. 1974. i 1975.g.), budući smo njima prvima slali poziv. Njihov odaziv iznosi 70%, čime možemo biti zadovoljni. Odaziv će biti veći nakon što neodazvanim ženama pošaljemo ponovni poziv (ponovne pozive šaljemo nakon što prođu 3 mjeseca od prvog poziva). </w:t>
            </w:r>
          </w:p>
          <w:p w:rsidR="00127A5E" w:rsidRPr="002C5EC0" w:rsidRDefault="00127A5E" w:rsidP="00127A5E">
            <w:pPr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Odaziv na Nacionalni program ranog otkrivanja raka debelog crijeva</w:t>
            </w:r>
            <w:r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127A5E" w:rsidRPr="00C417F4" w:rsidRDefault="00127A5E" w:rsidP="00127A5E">
            <w:pPr>
              <w:pStyle w:val="ListParagraph1"/>
              <w:ind w:left="0"/>
              <w:rPr>
                <w:sz w:val="20"/>
                <w:szCs w:val="20"/>
              </w:rPr>
            </w:pPr>
            <w:r w:rsidRPr="00C417F4">
              <w:rPr>
                <w:sz w:val="20"/>
                <w:szCs w:val="20"/>
              </w:rPr>
              <w:t xml:space="preserve">U tijeku je šesti ciklus Nacionalnog programa ranog otkrivanja raka debelog crijeva koji je započeo 12.09.2023. godine. Program je u reorganizaciji zbog potrebe za uvođenjem novog </w:t>
            </w:r>
            <w:proofErr w:type="spellStart"/>
            <w:r w:rsidRPr="00C417F4">
              <w:rPr>
                <w:sz w:val="20"/>
                <w:szCs w:val="20"/>
              </w:rPr>
              <w:t>imunokemijskog</w:t>
            </w:r>
            <w:proofErr w:type="spellEnd"/>
            <w:r w:rsidRPr="00C417F4">
              <w:rPr>
                <w:sz w:val="20"/>
                <w:szCs w:val="20"/>
              </w:rPr>
              <w:t xml:space="preserve"> testa, budući nigdje u svijetu na tržištu nema </w:t>
            </w:r>
            <w:proofErr w:type="spellStart"/>
            <w:r w:rsidRPr="00C417F4">
              <w:rPr>
                <w:sz w:val="20"/>
                <w:szCs w:val="20"/>
              </w:rPr>
              <w:t>gvajakovog</w:t>
            </w:r>
            <w:proofErr w:type="spellEnd"/>
            <w:r w:rsidRPr="00C417F4">
              <w:rPr>
                <w:sz w:val="20"/>
                <w:szCs w:val="20"/>
              </w:rPr>
              <w:t xml:space="preserve"> testa za otkrivanje skrivenog krvarenja u stolici (</w:t>
            </w:r>
            <w:proofErr w:type="spellStart"/>
            <w:r w:rsidRPr="00C417F4">
              <w:rPr>
                <w:sz w:val="20"/>
                <w:szCs w:val="20"/>
              </w:rPr>
              <w:t>gFOBT</w:t>
            </w:r>
            <w:proofErr w:type="spellEnd"/>
            <w:r w:rsidRPr="00C417F4">
              <w:rPr>
                <w:sz w:val="20"/>
                <w:szCs w:val="20"/>
              </w:rPr>
              <w:t xml:space="preserve">) koji smo do sada koristili. Iz tog razloga, u 6. ciklusu smo poslali pozive cjelokupnoj  ciljanoj populaciji samo za 9 godišta, i za ta godišta odaziv na test iznosi 32%. </w:t>
            </w:r>
          </w:p>
          <w:p w:rsidR="00127A5E" w:rsidRPr="00C417F4" w:rsidRDefault="00127A5E" w:rsidP="00127A5E">
            <w:pPr>
              <w:pStyle w:val="ListParagraph1"/>
              <w:ind w:left="0"/>
              <w:rPr>
                <w:sz w:val="20"/>
                <w:szCs w:val="20"/>
              </w:rPr>
            </w:pPr>
            <w:r w:rsidRPr="00C417F4">
              <w:rPr>
                <w:sz w:val="20"/>
                <w:szCs w:val="20"/>
              </w:rPr>
              <w:t>Uz njih, u 6. ciklusu smo poslali testove i osobama koje su se odazvale u 5. ciklusu. Naime, prema protokolu programa, osobama koje su se odazvale u prethodnom krugu, u narednom krugu se odmah šalju testovi, bez upućivanja poziva za sudjelovanje. Odaziv tih osoba na test iznosi 92% (njima je upućeno 3.578 testo</w:t>
            </w:r>
            <w:r>
              <w:rPr>
                <w:sz w:val="20"/>
                <w:szCs w:val="20"/>
              </w:rPr>
              <w:t xml:space="preserve">va, a testirano je 3.283 osoba). </w:t>
            </w:r>
          </w:p>
          <w:p w:rsidR="003236A1" w:rsidRPr="003236A1" w:rsidRDefault="003236A1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:rsidR="00495878" w:rsidRPr="002C5EC0" w:rsidRDefault="00495878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  <w:r w:rsidRPr="002C5EC0">
              <w:rPr>
                <w:rFonts w:asciiTheme="minorHAnsi" w:hAnsiTheme="minorHAnsi" w:cstheme="minorHAnsi"/>
                <w:b/>
                <w:color w:val="FF0000"/>
              </w:rPr>
              <w:t>Savjetovalište za prevenciju prekomjerne tjelesne težine i debljine</w:t>
            </w:r>
          </w:p>
          <w:p w:rsidR="00495878" w:rsidRPr="002C5EC0" w:rsidRDefault="00495878" w:rsidP="00495878">
            <w:pPr>
              <w:pStyle w:val="Bezproreda"/>
              <w:jc w:val="both"/>
              <w:rPr>
                <w:rFonts w:asciiTheme="minorHAnsi" w:hAnsiTheme="minorHAnsi" w:cstheme="minorHAnsi"/>
                <w:b/>
                <w:color w:val="FF000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Zakonska osnova: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Nacionalna razvojna strategi</w:t>
            </w:r>
            <w:r w:rsidR="0057115E" w:rsidRPr="002C5EC0">
              <w:rPr>
                <w:rFonts w:cstheme="minorHAnsi"/>
                <w:b/>
                <w:sz w:val="20"/>
                <w:szCs w:val="20"/>
              </w:rPr>
              <w:t xml:space="preserve">ja Republike Hrvatske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Cilj  5. „Zdrav, aktivan i kvalitetan život“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>Prioritetno područje: 2. Zdravlje, zdrave prehrambene navike i aktivni život kroz sport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Nacionalni plan razvoja zdravstva za razdoblje od 2021.-2027. godine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Posebni cilj 1. Bolje zdrave životne navike i učinkovitija prevencija bolesti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C5EC0">
              <w:rPr>
                <w:rFonts w:cstheme="minorHAnsi"/>
                <w:sz w:val="20"/>
                <w:szCs w:val="20"/>
              </w:rPr>
              <w:t xml:space="preserve">Mjera 1. Promicanje zdravih životnih navika </w:t>
            </w:r>
          </w:p>
          <w:p w:rsidR="00495878" w:rsidRPr="002C5EC0" w:rsidRDefault="00495878" w:rsidP="0049587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C5EC0">
              <w:rPr>
                <w:rFonts w:cstheme="minorHAnsi"/>
                <w:b/>
                <w:sz w:val="20"/>
                <w:szCs w:val="20"/>
              </w:rPr>
              <w:t>Opis, obrazloženje mjere</w:t>
            </w:r>
            <w:r w:rsidRPr="002C5EC0">
              <w:rPr>
                <w:rFonts w:cstheme="minorHAnsi"/>
                <w:sz w:val="20"/>
                <w:szCs w:val="20"/>
              </w:rPr>
              <w:t>: s obzirom na raširenost čimbenika rizika (pušenje, pretilost, tjelesna neaktivnost, itd.), bolja briga o vlastitom zdravlju jedan je od osnovnih preduvjeta da preokrenemo negativne zdravstvene trendove. Programi edukacije i kampanje, provedba populacijskih istraživanja, standardizacija jelovnika u javnim ustanovama, promjena</w:t>
            </w:r>
            <w:r w:rsidRPr="00196D0A">
              <w:rPr>
                <w:rFonts w:ascii="Calibri" w:hAnsi="Calibri" w:cs="Calibri"/>
                <w:sz w:val="20"/>
                <w:szCs w:val="20"/>
              </w:rPr>
              <w:t xml:space="preserve"> propisa o proizvodima štetnima za zdravlje i uspostava mreže savjetovališta unaprijedit će zdravstvene ishode populacije.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Nacionalni plan razvoja Međimurske županije do 2027. godine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Prioritet 2. „Zdravo, uključivo i otporno društvo“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Mjera 2.5.1. Promicanje zdravih stilova života od najranije mladosti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shd w:val="clear" w:color="auto" w:fill="FFFFFF"/>
              </w:rPr>
              <w:t>Opis mjere:</w:t>
            </w: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sz w:val="20"/>
                <w:szCs w:val="20"/>
              </w:rPr>
              <w:t>Nastavak promicanja zdravih životnih stilova (zdravstvena pismenost i kultura; zdrava i raznovrsna prehrana, kretanje, sportska rekreacija i dr.). Osnaživanje primarne zdravstvene zaštite i Zavoda za javno zdravstvo za provedbu programa prevencije pretilosti i njihova promocija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57702" w:rsidRDefault="00257702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57702" w:rsidRDefault="00257702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9D14A7" w:rsidRDefault="009D14A7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9D14A7" w:rsidRDefault="009D14A7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9D14A7" w:rsidRDefault="009D14A7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57702" w:rsidRDefault="00257702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57702" w:rsidRDefault="00257702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071CDD" w:rsidRDefault="00071CDD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257702" w:rsidRPr="00196D0A" w:rsidRDefault="00257702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CILJ : Povećanje obuhvata osoba tretmanom zbog prevencije i korekcije prekomjerne tjelesne težine i debljine i usvajanja zdravog stila života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943"/>
              <w:gridCol w:w="1559"/>
              <w:gridCol w:w="1137"/>
              <w:gridCol w:w="1214"/>
              <w:gridCol w:w="1214"/>
              <w:gridCol w:w="1214"/>
            </w:tblGrid>
            <w:tr w:rsidR="00257702" w:rsidRPr="00196D0A" w:rsidTr="00257702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071CD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257702" w:rsidRPr="00196D0A" w:rsidRDefault="00257702" w:rsidP="00071CD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071CD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071CD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071CD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071CD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071CD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7702" w:rsidRPr="00196D0A" w:rsidRDefault="00257702" w:rsidP="00071CD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Povećanje/smanjenje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57702" w:rsidRPr="00196D0A" w:rsidRDefault="000937E5" w:rsidP="00071CDD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</w:t>
                  </w:r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I.Izmjene</w:t>
                  </w:r>
                  <w:proofErr w:type="spellEnd"/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 i dopune </w:t>
                  </w:r>
                  <w:proofErr w:type="spellStart"/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fin.plana</w:t>
                  </w:r>
                  <w:proofErr w:type="spellEnd"/>
                  <w:r w:rsidR="00257702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 za 2025.g.</w:t>
                  </w:r>
                </w:p>
              </w:tc>
            </w:tr>
            <w:tr w:rsidR="00257702" w:rsidRPr="00196D0A" w:rsidTr="00071CDD"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071CD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 osoba u tretmanu</w:t>
                  </w:r>
                </w:p>
                <w:p w:rsidR="00257702" w:rsidRPr="00196D0A" w:rsidRDefault="00257702" w:rsidP="00071CD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 pruženih usluga savjetovanja nutricioniste</w:t>
                  </w:r>
                </w:p>
                <w:p w:rsidR="00257702" w:rsidRPr="00196D0A" w:rsidRDefault="00257702" w:rsidP="00071CD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 ukupnih usluga Savjetovališta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071CD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Povećanjem broja osoba u tretmanu i usluga Savjetovališta povećat će se broj osoba koje će usvojiti zdrave životne navike te će se tako smanjiti </w:t>
                  </w:r>
                  <w:proofErr w:type="spellStart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prevalencija</w:t>
                  </w:r>
                  <w:proofErr w:type="spellEnd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prekomjerne tjelesne težine i debljine u našem stanovništvu, a posljedično i </w:t>
                  </w:r>
                  <w:proofErr w:type="spellStart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prevalencija</w:t>
                  </w:r>
                  <w:proofErr w:type="spellEnd"/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kroničnih  nezaraznih bolesti povezanih s njom </w:t>
                  </w:r>
                </w:p>
                <w:p w:rsidR="00257702" w:rsidRPr="00196D0A" w:rsidRDefault="00257702" w:rsidP="00071CD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96D0A" w:rsidRDefault="00257702" w:rsidP="00071CD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Default="00257702" w:rsidP="00071CD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395 (osoba)</w:t>
                  </w:r>
                </w:p>
                <w:p w:rsidR="00257702" w:rsidRDefault="00257702" w:rsidP="00071CD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753 (</w:t>
                  </w:r>
                  <w:proofErr w:type="spellStart"/>
                  <w:r>
                    <w:rPr>
                      <w:rFonts w:eastAsia="Times New Roman" w:cs="Calibri"/>
                      <w:sz w:val="16"/>
                      <w:szCs w:val="16"/>
                    </w:rPr>
                    <w:t>savjet.nutric</w:t>
                  </w:r>
                  <w:proofErr w:type="spellEnd"/>
                  <w:r>
                    <w:rPr>
                      <w:rFonts w:eastAsia="Times New Roman" w:cs="Calibri"/>
                      <w:sz w:val="16"/>
                      <w:szCs w:val="16"/>
                    </w:rPr>
                    <w:t>.)</w:t>
                  </w:r>
                </w:p>
                <w:p w:rsidR="00257702" w:rsidRDefault="00257702" w:rsidP="00071CD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2.028 (ukupno usluga)</w:t>
                  </w:r>
                </w:p>
              </w:tc>
              <w:tc>
                <w:tcPr>
                  <w:tcW w:w="11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Default="00257702" w:rsidP="00071CD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75235" w:rsidRDefault="00257702" w:rsidP="00071CDD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175235"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</w:rPr>
                    <w:t>420</w:t>
                  </w:r>
                </w:p>
                <w:p w:rsidR="00257702" w:rsidRPr="00175235" w:rsidRDefault="00257702" w:rsidP="00071CDD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</w:rPr>
                  </w:pPr>
                  <w:r w:rsidRPr="00175235"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</w:rPr>
                    <w:t>800</w:t>
                  </w:r>
                </w:p>
                <w:p w:rsidR="00257702" w:rsidRDefault="00257702" w:rsidP="00071CD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2200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Default="00257702" w:rsidP="00071CDD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  <w:t xml:space="preserve">          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257702" w:rsidRPr="00175235" w:rsidRDefault="00257702" w:rsidP="00257702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175235"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</w:rPr>
                    <w:t>420</w:t>
                  </w:r>
                </w:p>
                <w:p w:rsidR="00257702" w:rsidRPr="00175235" w:rsidRDefault="00257702" w:rsidP="00257702">
                  <w:pPr>
                    <w:spacing w:after="0" w:line="240" w:lineRule="auto"/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</w:rPr>
                  </w:pPr>
                  <w:r w:rsidRPr="00175235">
                    <w:rPr>
                      <w:rFonts w:eastAsia="Times New Roman" w:cs="Calibri"/>
                      <w:color w:val="000000" w:themeColor="text1"/>
                      <w:sz w:val="16"/>
                      <w:szCs w:val="16"/>
                    </w:rPr>
                    <w:t>800</w:t>
                  </w:r>
                </w:p>
                <w:p w:rsidR="00257702" w:rsidRDefault="00257702" w:rsidP="00257702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2200</w:t>
                  </w:r>
                </w:p>
              </w:tc>
            </w:tr>
          </w:tbl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196D0A" w:rsidRDefault="00495878" w:rsidP="00495878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djelovanja Savjetovališta</w:t>
            </w:r>
            <w:r w:rsidRPr="00196D0A">
              <w:rPr>
                <w:rFonts w:ascii="Calibri" w:hAnsi="Calibri" w:cs="Calibri"/>
                <w:sz w:val="20"/>
                <w:szCs w:val="20"/>
              </w:rPr>
              <w:t>: p</w:t>
            </w:r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ovećanje broja osoba u tretmanu i usluga Savjetovališta kako bi se povećao broj osoba koje će usvojiti zdrave životne navike te će se tako smanjiti </w:t>
            </w:r>
            <w:proofErr w:type="spellStart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>prevalencija</w:t>
            </w:r>
            <w:proofErr w:type="spellEnd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 prekomjerne tjelesne težine i debljine u našem stanovništvu, a posljedično i </w:t>
            </w:r>
            <w:proofErr w:type="spellStart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>prevalencija</w:t>
            </w:r>
            <w:proofErr w:type="spellEnd"/>
            <w:r w:rsidRPr="00196D0A">
              <w:rPr>
                <w:rFonts w:ascii="Calibri" w:eastAsia="Times New Roman" w:hAnsi="Calibri" w:cs="Calibri"/>
                <w:sz w:val="20"/>
                <w:szCs w:val="20"/>
              </w:rPr>
              <w:t xml:space="preserve"> kroničnih  nezaraznih bolesti povezanih s njom. Na taj način će se unaprijediti kvaliteta života i blagostanje stanovništva Međimurske županije. </w:t>
            </w:r>
          </w:p>
          <w:p w:rsidR="00495878" w:rsidRPr="00196D0A" w:rsidRDefault="00495878" w:rsidP="0049587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95878" w:rsidRPr="00FF0C16" w:rsidRDefault="00495878" w:rsidP="00495878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F0C16">
              <w:rPr>
                <w:rFonts w:ascii="Calibri" w:hAnsi="Calibri" w:cs="Calibri"/>
                <w:b/>
                <w:sz w:val="20"/>
                <w:szCs w:val="20"/>
              </w:rPr>
              <w:t>Izvještaj o postignutim ciljevima i rezultatima temeljenim na pokazateljima us</w:t>
            </w:r>
            <w:r w:rsidR="003236A1" w:rsidRPr="00FF0C16">
              <w:rPr>
                <w:rFonts w:ascii="Calibri" w:hAnsi="Calibri" w:cs="Calibri"/>
                <w:b/>
                <w:sz w:val="20"/>
                <w:szCs w:val="20"/>
              </w:rPr>
              <w:t xml:space="preserve">pješnosti u </w:t>
            </w:r>
            <w:r w:rsidRPr="00FF0C16">
              <w:rPr>
                <w:rFonts w:ascii="Calibri" w:hAnsi="Calibri" w:cs="Calibri"/>
                <w:b/>
                <w:sz w:val="20"/>
                <w:szCs w:val="20"/>
              </w:rPr>
              <w:t>202</w:t>
            </w:r>
            <w:r w:rsidR="00591626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FF0C16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  <w:p w:rsidR="003236A1" w:rsidRPr="00FF0C16" w:rsidRDefault="003236A1" w:rsidP="003236A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F0C16">
              <w:rPr>
                <w:rFonts w:eastAsia="Times New Roman" w:cstheme="minorHAnsi"/>
                <w:sz w:val="20"/>
                <w:szCs w:val="20"/>
              </w:rPr>
              <w:t>U Zavodu za javno zdravstvo Međimurske županije od 2007. godine djeluje Savjetovalište za prevenciju i tretman prekomjerne tjelesne težine i debljine. Rad se temelji na multidisciplinarnom pristupu, a od 2020. godine kao stalni član tima na puno radno vrijeme je zaposlena magistra nutricionizma.</w:t>
            </w:r>
          </w:p>
          <w:p w:rsidR="003236A1" w:rsidRPr="00FF0C16" w:rsidRDefault="003236A1" w:rsidP="003236A1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FF0C16">
              <w:rPr>
                <w:rFonts w:eastAsia="Times New Roman" w:cstheme="minorHAnsi"/>
                <w:sz w:val="20"/>
                <w:szCs w:val="20"/>
              </w:rPr>
              <w:t xml:space="preserve">Tijekom 2024. godine, u savjetovalištu su bile pružene ukupno 2.164 usluge (u individualnom tretmanu, uključeno i određivanje kolesterola, </w:t>
            </w:r>
            <w:proofErr w:type="spellStart"/>
            <w:r w:rsidRPr="00FF0C16">
              <w:rPr>
                <w:rFonts w:eastAsia="Times New Roman" w:cstheme="minorHAnsi"/>
                <w:sz w:val="20"/>
                <w:szCs w:val="20"/>
              </w:rPr>
              <w:t>triglicerida</w:t>
            </w:r>
            <w:proofErr w:type="spellEnd"/>
            <w:r w:rsidRPr="00FF0C16">
              <w:rPr>
                <w:rFonts w:eastAsia="Times New Roman" w:cstheme="minorHAnsi"/>
                <w:sz w:val="20"/>
                <w:szCs w:val="20"/>
              </w:rPr>
              <w:t xml:space="preserve"> i šećera u kapilarnoj krvi), od toga su 892 bile usluge nutricioniste, a ukupno je u 2024. godini 457 osoba koristilo usluge Savjetovališta (</w:t>
            </w:r>
            <w:proofErr w:type="spellStart"/>
            <w:r w:rsidRPr="00FF0C16">
              <w:rPr>
                <w:rFonts w:eastAsia="Times New Roman" w:cstheme="minorHAnsi"/>
                <w:sz w:val="20"/>
                <w:szCs w:val="20"/>
              </w:rPr>
              <w:t>indicidualnog</w:t>
            </w:r>
            <w:proofErr w:type="spellEnd"/>
            <w:r w:rsidRPr="00FF0C16">
              <w:rPr>
                <w:rFonts w:eastAsia="Times New Roman" w:cstheme="minorHAnsi"/>
                <w:sz w:val="20"/>
                <w:szCs w:val="20"/>
              </w:rPr>
              <w:t xml:space="preserve"> i grupnog tretmana).  </w:t>
            </w:r>
          </w:p>
          <w:p w:rsidR="00495878" w:rsidRDefault="00495878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236A1" w:rsidRDefault="003236A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236A1" w:rsidRDefault="003236A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236A1" w:rsidRDefault="003236A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236A1" w:rsidRDefault="003236A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236A1" w:rsidRDefault="003236A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236A1" w:rsidRDefault="003236A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236A1" w:rsidRDefault="003236A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236A1" w:rsidRDefault="003236A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FF0C16" w:rsidRDefault="00FF0C1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FF0C16" w:rsidRDefault="00FF0C1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FF0C16" w:rsidRDefault="00FF0C1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FF0C16" w:rsidRDefault="00FF0C16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27A5E" w:rsidRDefault="00127A5E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27A5E" w:rsidRDefault="00127A5E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27A5E" w:rsidRDefault="00127A5E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3236A1" w:rsidRPr="00196D0A" w:rsidRDefault="003236A1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66F14" w:rsidRDefault="00766F14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196D0A" w:rsidRDefault="00196D0A" w:rsidP="00196D0A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CILJ: Povećanje obuhvata osoba tretmanom zbog poteškoća mentalnog zdravlja-savjetovalište školske djece</w:t>
            </w:r>
          </w:p>
          <w:p w:rsidR="00196D0A" w:rsidRDefault="00196D0A" w:rsidP="00196D0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106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127A5E" w:rsidTr="00196D0A"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A5E" w:rsidRDefault="00127A5E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127A5E" w:rsidRDefault="00127A5E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A5E" w:rsidRDefault="00127A5E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A5E" w:rsidRDefault="00127A5E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A5E" w:rsidRDefault="00127A5E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A5E" w:rsidRDefault="00127A5E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A5E" w:rsidRDefault="00127A5E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cs="Calibri"/>
                      <w:b/>
                      <w:i/>
                      <w:sz w:val="20"/>
                      <w:szCs w:val="20"/>
                    </w:rPr>
                    <w:t>Ciljana vrijednost (2025.)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A5E" w:rsidRPr="00196D0A" w:rsidRDefault="00127A5E" w:rsidP="00205A14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Povećanje/smanjenje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7A5E" w:rsidRPr="00196D0A" w:rsidRDefault="00BD0A08" w:rsidP="00205A14">
                  <w:pPr>
                    <w:pStyle w:val="Odlomakpopisa"/>
                    <w:spacing w:after="0" w:line="240" w:lineRule="auto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</w:t>
                  </w:r>
                  <w:r w:rsidR="00127A5E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I.Izmjene</w:t>
                  </w:r>
                  <w:proofErr w:type="spellEnd"/>
                  <w:r w:rsidR="00127A5E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 i dopune </w:t>
                  </w:r>
                  <w:proofErr w:type="spellStart"/>
                  <w:r w:rsidR="00127A5E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fin.plana</w:t>
                  </w:r>
                  <w:proofErr w:type="spellEnd"/>
                  <w:r w:rsidR="00127A5E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 za 2025.g.</w:t>
                  </w:r>
                </w:p>
              </w:tc>
            </w:tr>
            <w:tr w:rsidR="00196D0A" w:rsidTr="00196D0A">
              <w:tc>
                <w:tcPr>
                  <w:tcW w:w="1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školske djece u tretmanu</w:t>
                  </w: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</w:rPr>
                  </w:pPr>
                </w:p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Povećanjem broja djece u tretmanu prevenirati će se negativni socijalno-ekonomski društveni učinci u mentalnom razvoju i zdravlju djeteta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broj školske djece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250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27A5E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96D0A" w:rsidRDefault="00196D0A">
                  <w:pPr>
                    <w:spacing w:after="0" w:line="240" w:lineRule="auto"/>
                    <w:rPr>
                      <w:rFonts w:eastAsia="Times New Roman" w:cs="Calibri"/>
                      <w:sz w:val="16"/>
                      <w:szCs w:val="16"/>
                      <w:lang w:eastAsia="en-US"/>
                    </w:rPr>
                  </w:pPr>
                  <w:r>
                    <w:rPr>
                      <w:rFonts w:eastAsia="Times New Roman" w:cs="Calibri"/>
                      <w:sz w:val="16"/>
                      <w:szCs w:val="16"/>
                    </w:rPr>
                    <w:t>250</w:t>
                  </w:r>
                </w:p>
              </w:tc>
            </w:tr>
          </w:tbl>
          <w:p w:rsidR="00196D0A" w:rsidRDefault="00196D0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01FD4" w:rsidRPr="00907588" w:rsidRDefault="00801FD4" w:rsidP="00801FD4">
            <w:pPr>
              <w:pStyle w:val="Odlomakpopisa"/>
              <w:numPr>
                <w:ilvl w:val="0"/>
                <w:numId w:val="4"/>
              </w:numPr>
              <w:spacing w:after="0"/>
              <w:rPr>
                <w:rFonts w:cstheme="minorHAnsi"/>
                <w:b/>
              </w:rPr>
            </w:pPr>
            <w:r w:rsidRPr="00907588">
              <w:rPr>
                <w:rFonts w:cstheme="minorHAnsi"/>
                <w:b/>
              </w:rPr>
              <w:t>Procjena i ishodište potrebnih sredstava za aktivn</w:t>
            </w:r>
            <w:r w:rsidR="00C0791B">
              <w:rPr>
                <w:rFonts w:cstheme="minorHAnsi"/>
                <w:b/>
              </w:rPr>
              <w:t>osti: REDOVNA DJELATNOST</w:t>
            </w:r>
          </w:p>
          <w:p w:rsidR="00801FD4" w:rsidRPr="00907588" w:rsidRDefault="00801FD4" w:rsidP="00801FD4">
            <w:pPr>
              <w:spacing w:after="0" w:line="240" w:lineRule="auto"/>
              <w:ind w:left="360"/>
              <w:rPr>
                <w:rFonts w:cstheme="minorHAnsi"/>
              </w:rPr>
            </w:pPr>
          </w:p>
          <w:p w:rsidR="00801FD4" w:rsidRDefault="00801FD4" w:rsidP="00801FD4">
            <w:pPr>
              <w:spacing w:after="0" w:line="240" w:lineRule="auto"/>
              <w:jc w:val="both"/>
              <w:rPr>
                <w:rFonts w:cstheme="minorHAnsi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8"/>
              <w:gridCol w:w="1998"/>
              <w:gridCol w:w="2143"/>
              <w:gridCol w:w="1853"/>
            </w:tblGrid>
            <w:tr w:rsidR="005C487B" w:rsidTr="005C487B">
              <w:tc>
                <w:tcPr>
                  <w:tcW w:w="1998" w:type="dxa"/>
                </w:tcPr>
                <w:p w:rsidR="005C487B" w:rsidRPr="00DB1F76" w:rsidRDefault="005C487B" w:rsidP="00557376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DB1F76">
                    <w:rPr>
                      <w:rFonts w:cstheme="minorHAnsi"/>
                      <w:b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998" w:type="dxa"/>
                  <w:vAlign w:val="center"/>
                </w:tcPr>
                <w:p w:rsidR="005C487B" w:rsidRPr="00DB1F76" w:rsidRDefault="005C487B" w:rsidP="00071CDD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5C487B" w:rsidRPr="00DB1F76" w:rsidRDefault="005C487B" w:rsidP="00071CDD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2025</w:t>
                  </w: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2143" w:type="dxa"/>
                  <w:vAlign w:val="center"/>
                </w:tcPr>
                <w:p w:rsidR="005C487B" w:rsidRPr="00DB1F76" w:rsidRDefault="005C487B" w:rsidP="00071CDD">
                  <w:pPr>
                    <w:jc w:val="center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Povećanje/smanjenje</w:t>
                  </w:r>
                  <w:r w:rsidRPr="00DB1F76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853" w:type="dxa"/>
                  <w:vAlign w:val="center"/>
                </w:tcPr>
                <w:p w:rsidR="005C487B" w:rsidRPr="005C487B" w:rsidRDefault="005C487B" w:rsidP="005C487B">
                  <w:pP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I</w:t>
                  </w:r>
                  <w:r w:rsidR="00C34EA0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I</w:t>
                  </w:r>
                  <w:r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.</w:t>
                  </w:r>
                  <w:r w:rsidRPr="005C487B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Izmjene</w:t>
                  </w:r>
                  <w:proofErr w:type="spellEnd"/>
                  <w:r w:rsidRPr="005C487B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 i dopune </w:t>
                  </w:r>
                  <w:proofErr w:type="spellStart"/>
                  <w:r w:rsidRPr="005C487B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>fin.plana</w:t>
                  </w:r>
                  <w:proofErr w:type="spellEnd"/>
                  <w:r w:rsidRPr="005C487B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</w:rPr>
                    <w:t xml:space="preserve"> za 2025.g.</w:t>
                  </w:r>
                </w:p>
              </w:tc>
            </w:tr>
            <w:tr w:rsidR="005C487B" w:rsidTr="005C487B">
              <w:tc>
                <w:tcPr>
                  <w:tcW w:w="1998" w:type="dxa"/>
                </w:tcPr>
                <w:p w:rsidR="005C487B" w:rsidRDefault="005C487B" w:rsidP="00557376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DB1F76">
                    <w:rPr>
                      <w:rFonts w:cstheme="minorHAnsi"/>
                      <w:sz w:val="20"/>
                      <w:szCs w:val="20"/>
                    </w:rPr>
                    <w:t>Redovna djelatnost</w:t>
                  </w:r>
                </w:p>
                <w:p w:rsidR="005C487B" w:rsidRPr="00DB1F76" w:rsidRDefault="005C487B" w:rsidP="00557376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998" w:type="dxa"/>
                </w:tcPr>
                <w:p w:rsidR="005C487B" w:rsidRPr="00DB1F76" w:rsidRDefault="000937E5" w:rsidP="00ED65B5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4.207.632,15</w:t>
                  </w:r>
                </w:p>
              </w:tc>
              <w:tc>
                <w:tcPr>
                  <w:tcW w:w="2143" w:type="dxa"/>
                </w:tcPr>
                <w:p w:rsidR="005C487B" w:rsidRPr="00DB1F76" w:rsidRDefault="000937E5" w:rsidP="00681DE0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-17.167,06</w:t>
                  </w:r>
                </w:p>
              </w:tc>
              <w:tc>
                <w:tcPr>
                  <w:tcW w:w="1853" w:type="dxa"/>
                </w:tcPr>
                <w:p w:rsidR="005C487B" w:rsidRPr="00DB1F76" w:rsidRDefault="000937E5" w:rsidP="00DF042C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4.190.465,09</w:t>
                  </w:r>
                </w:p>
              </w:tc>
            </w:tr>
          </w:tbl>
          <w:p w:rsidR="00196D0A" w:rsidRDefault="00196D0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0937E5" w:rsidRDefault="005C487B" w:rsidP="00FF0C16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</w:t>
            </w:r>
            <w:r w:rsidR="000937E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  <w:r w:rsidRPr="005C48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Izmjenama</w:t>
            </w:r>
            <w:proofErr w:type="spellEnd"/>
            <w:r w:rsidR="00071CD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 dopunama financijskog plana za 2025. godinu </w:t>
            </w:r>
            <w:r w:rsidR="00C34EA0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planirano je smanjenje</w:t>
            </w:r>
            <w:r w:rsidR="00C0791B" w:rsidRPr="005C48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potrebnih sredstava za aktivnosti redovne djelatnosti zbog </w:t>
            </w:r>
            <w:r w:rsidR="000937E5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smanjenja</w:t>
            </w:r>
            <w:r w:rsidRPr="005C487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rashoda</w:t>
            </w:r>
            <w:r w:rsidR="000731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plaća a koji se temelji na procjeni troškova plaća do kraja godine prema sadašnjem broju zaposlenika.</w:t>
            </w:r>
            <w:r w:rsidR="00FF06E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Smanjenje rashoda također odnosi se na uređenje parka obzirom da će se tek krajem godine provesti natječaj stoga se troškovi po istom očekuju u 2026. godini.</w:t>
            </w:r>
          </w:p>
          <w:p w:rsidR="005C487B" w:rsidRPr="005C487B" w:rsidRDefault="005C487B" w:rsidP="005C487B">
            <w:pPr>
              <w:spacing w:after="0" w:line="240" w:lineRule="auto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  <w:p w:rsidR="00F661C1" w:rsidRPr="00FF06E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FF06EA">
              <w:rPr>
                <w:rFonts w:ascii="Calibri" w:hAnsi="Calibri" w:cs="Calibri"/>
                <w:b/>
                <w:color w:val="000000" w:themeColor="text1"/>
              </w:rPr>
              <w:t>Centralno financiranje specijalizacija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 Zavod za javno zdravstvo Međimurske županije se javio na Ograničeni poziv za dodjelu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besprovratnih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projekata pod nazivom „Centralno financiranje specijalizacija“ temeljem nacionalnog plana oporavka i otpornosti 2021.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-</w:t>
            </w:r>
            <w:r w:rsidRPr="00196D0A">
              <w:rPr>
                <w:rFonts w:ascii="Calibri" w:hAnsi="Calibri" w:cs="Calibri"/>
                <w:color w:val="000000" w:themeColor="text1"/>
              </w:rPr>
              <w:t>2026. kojim će se financirati tri s</w:t>
            </w:r>
            <w:r w:rsidR="00C959F8" w:rsidRPr="00196D0A">
              <w:rPr>
                <w:rFonts w:ascii="Calibri" w:hAnsi="Calibri" w:cs="Calibri"/>
                <w:color w:val="000000" w:themeColor="text1"/>
              </w:rPr>
              <w:t>pecijalizacije doktora medicine. Specijalistička usavršav</w:t>
            </w:r>
            <w:r w:rsidR="004A3168">
              <w:rPr>
                <w:rFonts w:ascii="Calibri" w:hAnsi="Calibri" w:cs="Calibri"/>
                <w:color w:val="000000" w:themeColor="text1"/>
              </w:rPr>
              <w:t>anja doktora medicine provode</w:t>
            </w:r>
            <w:r w:rsidR="00C959F8" w:rsidRPr="00196D0A">
              <w:rPr>
                <w:rFonts w:ascii="Calibri" w:hAnsi="Calibri" w:cs="Calibri"/>
                <w:color w:val="000000" w:themeColor="text1"/>
              </w:rPr>
              <w:t xml:space="preserve"> se iz područja  epidemiologije, školske i adolescentne medicine te kliničke mikrobiologije.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Zakonske i druge pravne osnove programa: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  <w:p w:rsidR="00F661C1" w:rsidRPr="00196D0A" w:rsidRDefault="00F661C1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 xml:space="preserve">Zakonska osnova zasniva se na Zakonu o 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zdravstvenoj</w:t>
            </w:r>
            <w:r w:rsidRPr="00196D0A">
              <w:rPr>
                <w:rFonts w:ascii="Calibri" w:hAnsi="Calibri" w:cs="Calibri"/>
                <w:color w:val="000000" w:themeColor="text1"/>
              </w:rPr>
              <w:t xml:space="preserve"> zaštiti, Nacionalnom planu oporavka i otpornosti 2021.-2026., Nacionalnom  planu specijalističkog usavršavanja zdravstvenih radnika za petogodišnje razdoblje, Pravilniku o specijalističkom usavršavanju doktora medicine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 xml:space="preserve"> i Odluke ministra zdravstva o specijalističkom usavršavanju doktora medicine</w:t>
            </w:r>
            <w:r w:rsidRPr="00196D0A">
              <w:rPr>
                <w:rFonts w:ascii="Calibri" w:hAnsi="Calibri" w:cs="Calibri"/>
                <w:color w:val="000000" w:themeColor="text1"/>
              </w:rPr>
              <w:t xml:space="preserve"> u djelatnosti obiteljske medicine, pedijatrije, ginekologije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opstetricije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, medicine rada i sporta, hitne medicine,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oftamologije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 xml:space="preserve"> i </w:t>
            </w:r>
            <w:proofErr w:type="spellStart"/>
            <w:r w:rsidRPr="00196D0A">
              <w:rPr>
                <w:rFonts w:ascii="Calibri" w:hAnsi="Calibri" w:cs="Calibri"/>
                <w:color w:val="000000" w:themeColor="text1"/>
              </w:rPr>
              <w:t>optometrije</w:t>
            </w:r>
            <w:proofErr w:type="spellEnd"/>
            <w:r w:rsidRPr="00196D0A">
              <w:rPr>
                <w:rFonts w:ascii="Calibri" w:hAnsi="Calibri" w:cs="Calibri"/>
                <w:color w:val="000000" w:themeColor="text1"/>
              </w:rPr>
              <w:t>, opće interne medicine, fizikalne medicine i rehabilitacije, kliničke radiologije, epidemiologije, školske i adolescentne medicine i kliničke mikrobiologije</w:t>
            </w:r>
            <w:r w:rsidR="00E036C3" w:rsidRPr="00196D0A">
              <w:rPr>
                <w:rFonts w:ascii="Calibri" w:hAnsi="Calibri" w:cs="Calibri"/>
                <w:color w:val="000000" w:themeColor="text1"/>
              </w:rPr>
              <w:t>.</w:t>
            </w:r>
          </w:p>
          <w:p w:rsidR="00C959F8" w:rsidRPr="00196D0A" w:rsidRDefault="00C959F8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E036C3" w:rsidRPr="00196D0A" w:rsidRDefault="00E036C3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Ciljevi pr</w:t>
            </w:r>
            <w:r w:rsidR="005C487B">
              <w:rPr>
                <w:rFonts w:ascii="Calibri" w:hAnsi="Calibri" w:cs="Calibri"/>
                <w:b/>
                <w:color w:val="000000" w:themeColor="text1"/>
              </w:rPr>
              <w:t xml:space="preserve">ovedbe programa u </w:t>
            </w:r>
            <w:r w:rsidR="00C0791B">
              <w:rPr>
                <w:rFonts w:ascii="Calibri" w:hAnsi="Calibri" w:cs="Calibri"/>
                <w:b/>
                <w:color w:val="000000" w:themeColor="text1"/>
              </w:rPr>
              <w:t>2025</w:t>
            </w:r>
            <w:r w:rsidR="00DB1F76">
              <w:rPr>
                <w:rFonts w:ascii="Calibri" w:hAnsi="Calibri" w:cs="Calibri"/>
                <w:b/>
                <w:color w:val="000000" w:themeColor="text1"/>
              </w:rPr>
              <w:t>.</w:t>
            </w:r>
            <w:r w:rsidR="005C487B">
              <w:rPr>
                <w:rFonts w:ascii="Calibri" w:hAnsi="Calibri" w:cs="Calibri"/>
                <w:b/>
                <w:color w:val="000000" w:themeColor="text1"/>
              </w:rPr>
              <w:t>g.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Primarni cilj je nadomještanje djelatnika specijalista koji odlaze u mirovinu, novim, mladim specijalistima a sve sa svrhom da se osigura: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epidemiološke zaštite u Međimurskoj županiji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na području školske i adolescentne medicine u Međimurskoj županiji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kvalitetna i kontinuirana usluga u djelatnosti kliničke mikrobiologije u ZZJZ MŽ</w:t>
            </w:r>
          </w:p>
          <w:p w:rsidR="007F725E" w:rsidRPr="00196D0A" w:rsidRDefault="007F725E" w:rsidP="00F661C1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color w:val="000000" w:themeColor="text1"/>
              </w:rPr>
              <w:t>- povećana ukupna kvaliteta usluge primarne zdravstvene zaštite pacijenata i pučanstva u MŽ</w:t>
            </w:r>
          </w:p>
          <w:p w:rsidR="007F725E" w:rsidRPr="00FF06EA" w:rsidRDefault="007F725E" w:rsidP="00F661C1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</w:p>
          <w:p w:rsidR="007D65ED" w:rsidRPr="00FF06EA" w:rsidRDefault="007D65ED" w:rsidP="007D65ED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FF06EA">
              <w:rPr>
                <w:rFonts w:ascii="Calibri" w:hAnsi="Calibri" w:cs="Calibri"/>
                <w:b/>
                <w:color w:val="000000" w:themeColor="text1"/>
              </w:rPr>
              <w:t>Program usmjeren unapređenju mentalnog zdravlja, prevenciji i liječenju ovisnosti u Međimurskoj županiji</w:t>
            </w: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:rsidR="007D65ED" w:rsidRPr="00196D0A" w:rsidRDefault="007D65ED" w:rsidP="007D65ED">
            <w:pPr>
              <w:pStyle w:val="Bezproreda"/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  <w:color w:val="000000" w:themeColor="text1"/>
              </w:rPr>
              <w:t>Obrazloženje:</w:t>
            </w:r>
          </w:p>
          <w:p w:rsidR="007D65ED" w:rsidRPr="00196D0A" w:rsidRDefault="007D65ED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Zavod se svake godine javlja na natječaj za program objavljen od strane Ministarstva zdravstva - program je usmjeren zaštiti mentalnog zdravlja stanovništva Međimurske županije, prevenciji i izvanbolničkom liječenju ovisnosti. Očekujemo da će financijski priljev po navedenom programu od strane Ministars</w:t>
            </w:r>
            <w:r w:rsidR="008A469A">
              <w:rPr>
                <w:rFonts w:ascii="Calibri" w:hAnsi="Calibri" w:cs="Calibri"/>
                <w:sz w:val="20"/>
                <w:szCs w:val="20"/>
                <w:lang w:eastAsia="en-US"/>
              </w:rPr>
              <w:t>tva zdravstva biti u tijeku 2025. u iznosu od 55.000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EUR</w:t>
            </w:r>
            <w:r w:rsidR="001E398B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. Program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je nastavak aktivnosti usmjerenih ka prevenciji, ranom otkrivanju, liječenju i rehabilitaciji mentalnih poremećaja i ovisnosti o alkoholu i drugim sredstvima ovisnosti, obuhvaćajući stanovništvo MŽ svih starosnih dobi, od predškolske do umirovljeničke, s posebnim naglaskom na primarnu prevenciju kroz program treninga životnih vještina. Trening životnih vještina dokazano je učinkovit u prevenciji ovisničkih i drugih oblika rizičnih ponašanja. Radi se o programu primarne prevencije rizičnih ponašanja (pušenja, konzumacije alkohola i zlouporabe droga) kojeg naš Zavod u suradnji s Međimurskom županijom i školskim preventivnim programima provodi od 2016. godine. Spada u programe nove generacije koji su formirani na temelju nalaza velikog broja istraživanja o tome što predstavlja zaštitne, a što rizične faktore u nastanku ovisničkog ponašanja. Program se  provodi za učenike  4., 5, 6. </w:t>
            </w:r>
            <w:r w:rsidR="008E1211">
              <w:rPr>
                <w:rFonts w:ascii="Calibri" w:hAnsi="Calibri" w:cs="Calibri"/>
                <w:sz w:val="20"/>
                <w:szCs w:val="20"/>
                <w:lang w:eastAsia="en-US"/>
              </w:rPr>
              <w:t>i</w:t>
            </w: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7. razreda osnovne škole, kako bi se zahvatio period ključan za razvoj stavova i navika povezanih s ovisničkim ponašanjem i drugim oblicima poremećaja u ponašanju. Provode ga razrednici i stručni suradnici škola uz superviziju stručnjaka iz Djelatnosti za zaštitu mentalnog zdravlja, prevenciju i izvanbolničko liječenje ovisnosti ZZJZ MŽ. </w:t>
            </w: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  <w:lang w:eastAsia="en-US"/>
              </w:rPr>
              <w:t>Zakonska osnova:</w:t>
            </w:r>
          </w:p>
          <w:p w:rsidR="007D65ED" w:rsidRPr="00196D0A" w:rsidRDefault="007D65ED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Nacionalna strategija </w:t>
            </w:r>
            <w:r w:rsidR="00196D0A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djelovanja na području ovisnosti za razdoblje do 2030. </w:t>
            </w:r>
            <w:r w:rsidR="008E1211">
              <w:rPr>
                <w:rFonts w:ascii="Calibri" w:hAnsi="Calibri" w:cs="Calibri"/>
                <w:sz w:val="20"/>
                <w:szCs w:val="20"/>
                <w:lang w:eastAsia="en-US"/>
              </w:rPr>
              <w:t>g</w:t>
            </w:r>
            <w:r w:rsidR="00196D0A"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odine</w:t>
            </w:r>
          </w:p>
          <w:p w:rsidR="00196D0A" w:rsidRPr="008E1211" w:rsidRDefault="00196D0A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eastAsia="Arial Unicode MS" w:hAnsi="Calibri" w:cs="Calibri"/>
                <w:sz w:val="20"/>
                <w:szCs w:val="20"/>
              </w:rPr>
              <w:t>Akcijski plan djelovanja na području ovisnosti do 2026. godine</w:t>
            </w:r>
          </w:p>
          <w:p w:rsidR="007D65ED" w:rsidRPr="00196D0A" w:rsidRDefault="007D65ED" w:rsidP="00937600">
            <w:pPr>
              <w:spacing w:after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196D0A">
              <w:rPr>
                <w:rFonts w:ascii="Calibri" w:hAnsi="Calibri" w:cs="Calibri"/>
                <w:sz w:val="20"/>
                <w:szCs w:val="20"/>
                <w:lang w:eastAsia="en-US"/>
              </w:rPr>
              <w:t>Nacionalna strategija zaštite mentalnog zdravlja</w:t>
            </w:r>
          </w:p>
          <w:p w:rsidR="007D65ED" w:rsidRPr="00196D0A" w:rsidRDefault="007D65ED" w:rsidP="007D65ED">
            <w:pPr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937600" w:rsidRPr="00196D0A" w:rsidRDefault="00937600" w:rsidP="00937600">
            <w:pPr>
              <w:spacing w:after="0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96D0A">
              <w:rPr>
                <w:rFonts w:ascii="Calibri" w:hAnsi="Calibri" w:cs="Calibri"/>
                <w:b/>
                <w:sz w:val="20"/>
                <w:szCs w:val="20"/>
              </w:rPr>
              <w:t>CILJ : Povećanje obuhvata osoba tretmanom zbog uporabe sredstava ovisnosti</w:t>
            </w:r>
          </w:p>
          <w:p w:rsidR="00937600" w:rsidRPr="00196D0A" w:rsidRDefault="00937600" w:rsidP="0093760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13"/>
              <w:gridCol w:w="1213"/>
              <w:gridCol w:w="1213"/>
              <w:gridCol w:w="1213"/>
              <w:gridCol w:w="1213"/>
              <w:gridCol w:w="1214"/>
              <w:gridCol w:w="1214"/>
              <w:gridCol w:w="1214"/>
            </w:tblGrid>
            <w:tr w:rsidR="00615A7D" w:rsidRPr="00196D0A" w:rsidTr="00071CDD">
              <w:tc>
                <w:tcPr>
                  <w:tcW w:w="1213" w:type="dxa"/>
                </w:tcPr>
                <w:p w:rsidR="00615A7D" w:rsidRPr="00196D0A" w:rsidRDefault="00615A7D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 xml:space="preserve">Pokazatelj </w:t>
                  </w:r>
                </w:p>
                <w:p w:rsidR="00615A7D" w:rsidRPr="00196D0A" w:rsidRDefault="00615A7D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213" w:type="dxa"/>
                </w:tcPr>
                <w:p w:rsidR="00615A7D" w:rsidRPr="00196D0A" w:rsidRDefault="00615A7D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Definicija</w:t>
                  </w:r>
                </w:p>
              </w:tc>
              <w:tc>
                <w:tcPr>
                  <w:tcW w:w="1213" w:type="dxa"/>
                </w:tcPr>
                <w:p w:rsidR="00615A7D" w:rsidRPr="00196D0A" w:rsidRDefault="00615A7D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213" w:type="dxa"/>
                </w:tcPr>
                <w:p w:rsidR="00615A7D" w:rsidRPr="00196D0A" w:rsidRDefault="00615A7D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Polazna vrijednost</w:t>
                  </w:r>
                </w:p>
              </w:tc>
              <w:tc>
                <w:tcPr>
                  <w:tcW w:w="1213" w:type="dxa"/>
                </w:tcPr>
                <w:p w:rsidR="00615A7D" w:rsidRPr="00196D0A" w:rsidRDefault="00615A7D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Izvor podataka</w:t>
                  </w:r>
                </w:p>
              </w:tc>
              <w:tc>
                <w:tcPr>
                  <w:tcW w:w="1214" w:type="dxa"/>
                </w:tcPr>
                <w:p w:rsidR="00615A7D" w:rsidRPr="00196D0A" w:rsidRDefault="00615A7D" w:rsidP="00D34235">
                  <w:pPr>
                    <w:pStyle w:val="Odlomakpopisa"/>
                    <w:ind w:left="0"/>
                    <w:jc w:val="both"/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Ciljana vrijednost (2025</w:t>
                  </w:r>
                  <w:r w:rsidRPr="00196D0A">
                    <w:rPr>
                      <w:rFonts w:ascii="Calibri" w:hAnsi="Calibri" w:cs="Calibri"/>
                      <w:b/>
                      <w:i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1214" w:type="dxa"/>
                  <w:vAlign w:val="center"/>
                </w:tcPr>
                <w:p w:rsidR="00615A7D" w:rsidRPr="00615A7D" w:rsidRDefault="00615A7D" w:rsidP="00071CDD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615A7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 xml:space="preserve">Povećanje/smanjenje </w:t>
                  </w:r>
                </w:p>
              </w:tc>
              <w:tc>
                <w:tcPr>
                  <w:tcW w:w="1214" w:type="dxa"/>
                  <w:vAlign w:val="center"/>
                </w:tcPr>
                <w:p w:rsidR="00615A7D" w:rsidRPr="00615A7D" w:rsidRDefault="00FF06EA" w:rsidP="00071CDD">
                  <w:pPr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I</w:t>
                  </w:r>
                  <w:r w:rsidR="00615A7D" w:rsidRPr="00615A7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I.Izmjene</w:t>
                  </w:r>
                  <w:proofErr w:type="spellEnd"/>
                  <w:r w:rsidR="00615A7D" w:rsidRPr="00615A7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 xml:space="preserve"> i dopune </w:t>
                  </w:r>
                  <w:proofErr w:type="spellStart"/>
                  <w:r w:rsidR="00615A7D" w:rsidRPr="00615A7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fin.plana</w:t>
                  </w:r>
                  <w:proofErr w:type="spellEnd"/>
                  <w:r w:rsidR="00615A7D" w:rsidRPr="00615A7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 xml:space="preserve"> za 2025.g.</w:t>
                  </w:r>
                </w:p>
              </w:tc>
            </w:tr>
            <w:tr w:rsidR="00937600" w:rsidRPr="00196D0A" w:rsidTr="00D34235"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 osoba u tretmanu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Povećanjem broja osoba u tretmanu prevenirati će se negativni socijalno-ekonomski društveni učinci zbog konzumiranja sredstava ovisnosti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broj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13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Zavod</w:t>
                  </w:r>
                </w:p>
              </w:tc>
              <w:tc>
                <w:tcPr>
                  <w:tcW w:w="1214" w:type="dxa"/>
                </w:tcPr>
                <w:p w:rsidR="00937600" w:rsidRPr="00196D0A" w:rsidRDefault="00937600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  <w:tc>
                <w:tcPr>
                  <w:tcW w:w="1214" w:type="dxa"/>
                </w:tcPr>
                <w:p w:rsidR="00937600" w:rsidRPr="00196D0A" w:rsidRDefault="00615A7D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    0</w:t>
                  </w:r>
                </w:p>
              </w:tc>
              <w:tc>
                <w:tcPr>
                  <w:tcW w:w="1214" w:type="dxa"/>
                </w:tcPr>
                <w:p w:rsidR="00937600" w:rsidRPr="00196D0A" w:rsidRDefault="00615A7D" w:rsidP="00D34235">
                  <w:pPr>
                    <w:rPr>
                      <w:rFonts w:ascii="Calibri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16"/>
                      <w:szCs w:val="16"/>
                    </w:rPr>
                    <w:t xml:space="preserve">        </w:t>
                  </w:r>
                  <w:r w:rsidR="00937600" w:rsidRPr="00196D0A">
                    <w:rPr>
                      <w:rFonts w:ascii="Calibri" w:hAnsi="Calibri" w:cs="Calibri"/>
                      <w:sz w:val="16"/>
                      <w:szCs w:val="16"/>
                    </w:rPr>
                    <w:t>270</w:t>
                  </w:r>
                </w:p>
              </w:tc>
            </w:tr>
          </w:tbl>
          <w:p w:rsidR="008A469A" w:rsidRDefault="008A469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8A469A" w:rsidRPr="00196D0A" w:rsidRDefault="008A469A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FF06EA" w:rsidRPr="00FF06EA" w:rsidRDefault="00FF06EA" w:rsidP="00FF06EA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 w:rsidRPr="00FF06EA">
              <w:rPr>
                <w:rFonts w:ascii="Calibri" w:hAnsi="Calibri" w:cs="Calibri"/>
                <w:b/>
                <w:color w:val="FF0000"/>
              </w:rPr>
              <w:t>Aktivnost 100901: Decentralizirane funkcije u zdravstvu-opremanje i održavanje</w:t>
            </w:r>
          </w:p>
          <w:p w:rsidR="00EB5E0E" w:rsidRPr="00196D0A" w:rsidRDefault="00EB5E0E" w:rsidP="0055737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451ACC" w:rsidRPr="00196D0A" w:rsidRDefault="00451ACC" w:rsidP="00451AC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Obrazloženje: </w:t>
            </w:r>
          </w:p>
          <w:p w:rsidR="00451ACC" w:rsidRPr="004A3168" w:rsidRDefault="00451ACC" w:rsidP="004A316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Investicijsko i tekuće održavanje u zdravstvu iz decentraliziranih funkcija</w:t>
            </w:r>
            <w:r w:rsidR="00E1371E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planiran</w:t>
            </w:r>
            <w:r w:rsidR="002C5EC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 je redovito tekuće održavanje 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medicinske, nemedicinske i informatičke opreme potrebnih za neometano funkcioniranje Zavoda.</w:t>
            </w:r>
            <w:r w:rsidR="004A31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 okviru te aktivnosti planirana je i kupnja nove opreme</w:t>
            </w:r>
            <w:r w:rsidR="00801F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prema popisu prioriteta za 2025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godinu. </w:t>
            </w:r>
          </w:p>
          <w:p w:rsidR="00451ACC" w:rsidRPr="00196D0A" w:rsidRDefault="00451ACC" w:rsidP="004A316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Cilj: </w:t>
            </w: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Redovno i pravodobno servisiranje i održavanje nemedicinske, medicinske i informatičke opreme, koja se financira iz decentraliziranih funkcija  ima za cilj nesmetano funkcioniranje postrojenja i opreme u Zavodu radi kontinuiranog pružanja zdravstvene zaštite pacijentima.</w:t>
            </w: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451ACC" w:rsidRPr="00196D0A" w:rsidRDefault="00451ACC" w:rsidP="00451AC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 xml:space="preserve">Zakonska osnova: </w:t>
            </w:r>
          </w:p>
          <w:p w:rsidR="0094009E" w:rsidRDefault="00451ACC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Odluka o minimalnim financijskim standardima za decentralizirane funkcij</w:t>
            </w:r>
            <w:r w:rsidR="00801FD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 za zdravstvene ustanove u 2025</w:t>
            </w:r>
            <w:r w:rsidR="003D5F2B" w:rsidRPr="00196D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 godini </w:t>
            </w: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8A469A" w:rsidRPr="008A469A" w:rsidRDefault="008A469A" w:rsidP="008A469A">
            <w:pPr>
              <w:pStyle w:val="Bezproreda"/>
              <w:jc w:val="both"/>
              <w:rPr>
                <w:rFonts w:ascii="Calibri" w:hAnsi="Calibri" w:cs="Calibri"/>
                <w:color w:val="000000" w:themeColor="text1"/>
              </w:rPr>
            </w:pPr>
            <w:r w:rsidRPr="00196D0A">
              <w:rPr>
                <w:rFonts w:ascii="Calibri" w:hAnsi="Calibri" w:cs="Calibri"/>
                <w:b/>
              </w:rPr>
              <w:t>Procjena i ishodište potrebnih sredstava za akt</w:t>
            </w:r>
            <w:r>
              <w:rPr>
                <w:rFonts w:ascii="Calibri" w:hAnsi="Calibri" w:cs="Calibri"/>
                <w:b/>
              </w:rPr>
              <w:t xml:space="preserve">ivnost : </w:t>
            </w:r>
            <w:r w:rsidRPr="008A469A">
              <w:rPr>
                <w:rFonts w:ascii="Calibri" w:hAnsi="Calibri" w:cs="Calibri"/>
                <w:color w:val="000000" w:themeColor="text1"/>
              </w:rPr>
              <w:t>Održavanje i kapitalna ulaganja-decentralizirana sredstva</w:t>
            </w:r>
          </w:p>
          <w:p w:rsidR="008A469A" w:rsidRPr="00196D0A" w:rsidRDefault="008A469A" w:rsidP="008A469A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A469A" w:rsidRPr="00196D0A" w:rsidRDefault="008A469A" w:rsidP="008A469A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  <w:tbl>
            <w:tblPr>
              <w:tblW w:w="7841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701"/>
              <w:gridCol w:w="1383"/>
              <w:gridCol w:w="1311"/>
              <w:gridCol w:w="1446"/>
            </w:tblGrid>
            <w:tr w:rsidR="00136453" w:rsidRPr="00196D0A" w:rsidTr="00136453">
              <w:trPr>
                <w:trHeight w:val="564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36453" w:rsidRPr="00DB1F76" w:rsidRDefault="00136453" w:rsidP="00071C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6453" w:rsidRPr="00DB1F76" w:rsidRDefault="00136453" w:rsidP="00071C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136453" w:rsidRPr="00DB1F76" w:rsidRDefault="00136453" w:rsidP="00071C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 xml:space="preserve">2025.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36453" w:rsidRPr="00615A7D" w:rsidRDefault="00136453" w:rsidP="00071C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</w:pPr>
                  <w:r w:rsidRPr="00615A7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 xml:space="preserve">Povećanje/smanjenje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6453" w:rsidRPr="00615A7D" w:rsidRDefault="00FF06EA" w:rsidP="00071C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I</w:t>
                  </w:r>
                  <w:r w:rsidR="00136453" w:rsidRPr="00615A7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I.Izmjene</w:t>
                  </w:r>
                  <w:proofErr w:type="spellEnd"/>
                  <w:r w:rsidR="00136453" w:rsidRPr="00615A7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 xml:space="preserve"> i dopune </w:t>
                  </w:r>
                  <w:proofErr w:type="spellStart"/>
                  <w:r w:rsidR="00136453" w:rsidRPr="00615A7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>fin.plana</w:t>
                  </w:r>
                  <w:proofErr w:type="spellEnd"/>
                  <w:r w:rsidR="00136453" w:rsidRPr="00615A7D">
                    <w:rPr>
                      <w:rFonts w:ascii="Calibri" w:eastAsia="Times New Roman" w:hAnsi="Calibri" w:cs="Calibri"/>
                      <w:b/>
                      <w:color w:val="000000"/>
                      <w:sz w:val="20"/>
                      <w:szCs w:val="20"/>
                    </w:rPr>
                    <w:t xml:space="preserve"> za 2025.g.</w:t>
                  </w:r>
                </w:p>
              </w:tc>
            </w:tr>
            <w:tr w:rsidR="00136453" w:rsidRPr="00196D0A" w:rsidTr="00136453">
              <w:trPr>
                <w:trHeight w:val="282"/>
              </w:trPr>
              <w:tc>
                <w:tcPr>
                  <w:tcW w:w="3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36453" w:rsidRPr="00DB1F76" w:rsidRDefault="00136453" w:rsidP="008A469A">
                  <w:pPr>
                    <w:pStyle w:val="Bezproreda"/>
                    <w:jc w:val="both"/>
                    <w:rPr>
                      <w:rFonts w:asciiTheme="minorHAnsi" w:eastAsia="Times New Roman" w:hAnsiTheme="minorHAnsi" w:cstheme="minorHAnsi"/>
                      <w:color w:val="000000"/>
                    </w:rPr>
                  </w:pPr>
                  <w:r w:rsidRPr="00DB1F76">
                    <w:rPr>
                      <w:rFonts w:asciiTheme="minorHAnsi" w:hAnsiTheme="minorHAnsi" w:cstheme="minorHAnsi"/>
                      <w:color w:val="000000" w:themeColor="text1"/>
                    </w:rPr>
                    <w:t>Održavanje i kapitalna ulaganja-decentralizirana sredstva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36453" w:rsidRPr="00DB1F76" w:rsidRDefault="00FF06EA" w:rsidP="00071C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182.390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36453" w:rsidRPr="00DB1F76" w:rsidRDefault="00FF06EA" w:rsidP="00071C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6453" w:rsidRPr="00DB1F76" w:rsidRDefault="00136453" w:rsidP="00071CD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</w:rPr>
                    <w:t>182.390,00</w:t>
                  </w:r>
                </w:p>
              </w:tc>
            </w:tr>
          </w:tbl>
          <w:p w:rsidR="008A469A" w:rsidRDefault="008A469A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66CD" w:rsidRPr="00832ADA" w:rsidRDefault="00F566CD" w:rsidP="00F566CD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F566CD" w:rsidRDefault="00F566CD" w:rsidP="006B7B69">
            <w:pPr>
              <w:spacing w:after="0" w:line="240" w:lineRule="auto"/>
              <w:rPr>
                <w:rFonts w:cs="Calibri"/>
                <w:b/>
                <w:color w:val="FF0000"/>
                <w:sz w:val="20"/>
                <w:szCs w:val="20"/>
              </w:rPr>
            </w:pPr>
            <w:r w:rsidRPr="006B7B69">
              <w:rPr>
                <w:rFonts w:cs="Calibri"/>
                <w:b/>
                <w:bCs/>
                <w:iCs/>
                <w:color w:val="FF0000"/>
                <w:sz w:val="20"/>
                <w:szCs w:val="20"/>
              </w:rPr>
              <w:t xml:space="preserve">AKTIVNOST </w:t>
            </w:r>
            <w:r w:rsidR="00FF06EA">
              <w:rPr>
                <w:rFonts w:cs="Calibri"/>
                <w:b/>
                <w:color w:val="FF0000"/>
                <w:sz w:val="20"/>
                <w:szCs w:val="20"/>
              </w:rPr>
              <w:t xml:space="preserve">A100904 </w:t>
            </w:r>
            <w:proofErr w:type="spellStart"/>
            <w:r w:rsidRPr="006B7B69">
              <w:rPr>
                <w:rFonts w:cs="Calibr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6B7B69">
              <w:rPr>
                <w:rFonts w:cs="Calibri"/>
                <w:b/>
                <w:color w:val="FF0000"/>
                <w:sz w:val="20"/>
                <w:szCs w:val="20"/>
              </w:rPr>
              <w:t xml:space="preserve"> vodoopskrbnog sustava u Međimurskoj županiji</w:t>
            </w:r>
          </w:p>
          <w:p w:rsidR="002C5EC0" w:rsidRPr="002C5EC0" w:rsidRDefault="002C5EC0" w:rsidP="006B7B69">
            <w:pPr>
              <w:spacing w:after="0" w:line="240" w:lineRule="auto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Opis programa</w:t>
            </w:r>
            <w:r w:rsidRPr="002C5EC0">
              <w:rPr>
                <w:rFonts w:eastAsia="Times New Roman" w:cstheme="minorHAnsi"/>
                <w:sz w:val="20"/>
                <w:szCs w:val="20"/>
              </w:rPr>
              <w:t xml:space="preserve">: Sustavno praćenje zdravstvene ispravnosti vode provođenjem niza planiranih mjerenja i analiza pojedinih parametara vode za ljudsku potrošnju, a obuhvaća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(praćenje) parametara skupine A i parametara skupine B u vodi za ljudsku potrošnju navedenih u Pravilniku o parametrima sukladnosti, metodama analiza i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monitorinzima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vode namijenjene za ljudsku potrošnju (NN 30/2023, 88/2023).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Zakonske i druge pravne osnove programa</w:t>
            </w:r>
            <w:r w:rsidRPr="002C5EC0">
              <w:rPr>
                <w:rFonts w:eastAsia="Times New Roman" w:cstheme="minorHAnsi"/>
                <w:sz w:val="20"/>
                <w:szCs w:val="20"/>
              </w:rPr>
              <w:t>: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0"/>
                <w:szCs w:val="20"/>
              </w:rPr>
              <w:t xml:space="preserve">Sukladno odredbama Zakona o vodi za ljudsku potrošnju (članak 52. stavak 1.,NN 30/2023), jedinice područne (regionalne) samouprave odnosno Grad Zagreb osiguravaju financijska sredstva za provođenje državnog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monitoringa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i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monitoringa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parametara radioaktivnih tvari iz članaka 41. i 50. u vodi za ljudsku potrošnju na području Međimurske županije.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Ciljevi pr</w:t>
            </w:r>
            <w:r>
              <w:rPr>
                <w:rFonts w:eastAsia="Times New Roman" w:cstheme="minorHAnsi"/>
                <w:b/>
                <w:sz w:val="20"/>
                <w:szCs w:val="20"/>
              </w:rPr>
              <w:t>ovedbe</w:t>
            </w:r>
            <w:r w:rsidR="00136453">
              <w:rPr>
                <w:rFonts w:eastAsia="Times New Roman" w:cstheme="minorHAnsi"/>
                <w:b/>
                <w:sz w:val="20"/>
                <w:szCs w:val="20"/>
              </w:rPr>
              <w:t xml:space="preserve"> programa u 2025. godini: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vode za ljudsku potrošnju podrazumijeva sustavno praćenje zdravstvene ispravnosti vode namijenjene za ljudsku potrošnju u Republici Hrvatskoj provođenjem niza planiranih mjerenja i analiza pojedinih parametara vode namijenjene za ljudsku potrošnju iz dijelova mikrobioloških, kemijskih, indikatorskih parametara i ostalih parametara propisanih pravilnikom iz članka 9. stavka 1. podstavka 1. ovoga Zakona i dodatnih parametara propisanih godišnjim planom državnog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monitoringa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>.</w:t>
            </w:r>
          </w:p>
          <w:p w:rsidR="00F566CD" w:rsidRPr="001A5035" w:rsidRDefault="001A5035" w:rsidP="00F56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66CD" w:rsidRDefault="00F566CD" w:rsidP="008E121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F566CD" w:rsidRPr="008A469A" w:rsidRDefault="00F566CD" w:rsidP="00F566CD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cs="Calibri"/>
                <w:color w:val="000000" w:themeColor="text1"/>
                <w:sz w:val="20"/>
                <w:szCs w:val="20"/>
              </w:rPr>
            </w:pPr>
            <w:r w:rsidRPr="00832ADA">
              <w:rPr>
                <w:rFonts w:cs="Calibri"/>
                <w:b/>
                <w:sz w:val="20"/>
                <w:szCs w:val="20"/>
              </w:rPr>
              <w:t>Procjena i ishodište potrebnih sredstava</w:t>
            </w:r>
            <w:r w:rsidR="008A469A">
              <w:rPr>
                <w:rFonts w:cs="Calibri"/>
                <w:b/>
                <w:sz w:val="20"/>
                <w:szCs w:val="20"/>
              </w:rPr>
              <w:t xml:space="preserve"> za aktivnost:  </w:t>
            </w:r>
            <w:proofErr w:type="spellStart"/>
            <w:r w:rsidR="008A469A" w:rsidRPr="008A469A">
              <w:rPr>
                <w:rFonts w:cs="Calibri"/>
                <w:color w:val="000000" w:themeColor="text1"/>
                <w:sz w:val="20"/>
                <w:szCs w:val="20"/>
              </w:rPr>
              <w:t>Monitoring</w:t>
            </w:r>
            <w:proofErr w:type="spellEnd"/>
            <w:r w:rsidR="008A469A" w:rsidRPr="008A469A">
              <w:rPr>
                <w:rFonts w:cs="Calibri"/>
                <w:color w:val="000000" w:themeColor="text1"/>
                <w:sz w:val="20"/>
                <w:szCs w:val="20"/>
              </w:rPr>
              <w:t xml:space="preserve"> vodoopskrbnog sustava u Međimurskoj županiji</w:t>
            </w:r>
          </w:p>
          <w:p w:rsidR="008A469A" w:rsidRPr="00832ADA" w:rsidRDefault="008A469A" w:rsidP="00F566CD">
            <w:pPr>
              <w:spacing w:after="0"/>
              <w:rPr>
                <w:rFonts w:cs="Calibri"/>
                <w:sz w:val="20"/>
                <w:szCs w:val="20"/>
              </w:rPr>
            </w:pPr>
          </w:p>
          <w:tbl>
            <w:tblPr>
              <w:tblW w:w="7839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699"/>
              <w:gridCol w:w="1383"/>
              <w:gridCol w:w="1311"/>
              <w:gridCol w:w="1446"/>
            </w:tblGrid>
            <w:tr w:rsidR="00136453" w:rsidTr="00136453">
              <w:trPr>
                <w:trHeight w:val="564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36453" w:rsidRPr="00DB1F76" w:rsidRDefault="00136453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453" w:rsidRPr="00DB1F76" w:rsidRDefault="00136453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136453" w:rsidRPr="00DB1F76" w:rsidRDefault="00136453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DB1F7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2025.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453" w:rsidRPr="00DB1F76" w:rsidRDefault="00136453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Povećanje/smanjenje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36453" w:rsidRPr="00136453" w:rsidRDefault="00BD0A08" w:rsidP="0013645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I</w:t>
                  </w:r>
                  <w:r w:rsidR="0013645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I.</w:t>
                  </w:r>
                  <w:r w:rsidR="00136453" w:rsidRPr="0013645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Izmjene</w:t>
                  </w:r>
                  <w:proofErr w:type="spellEnd"/>
                  <w:r w:rsidR="00136453" w:rsidRPr="0013645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i</w:t>
                  </w:r>
                  <w:r w:rsidR="0013645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dopune </w:t>
                  </w:r>
                  <w:proofErr w:type="spellStart"/>
                  <w:r w:rsidR="0013645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fin.plana</w:t>
                  </w:r>
                  <w:proofErr w:type="spellEnd"/>
                  <w:r w:rsidR="00136453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za 2025.g.</w:t>
                  </w:r>
                </w:p>
              </w:tc>
            </w:tr>
            <w:tr w:rsidR="00136453" w:rsidTr="00136453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36453" w:rsidRPr="00DB1F76" w:rsidRDefault="00136453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DB1F76">
                    <w:rPr>
                      <w:rFonts w:cs="Calibri"/>
                      <w:color w:val="000000" w:themeColor="text1"/>
                      <w:sz w:val="20"/>
                      <w:szCs w:val="20"/>
                    </w:rPr>
                    <w:t>Monitoring</w:t>
                  </w:r>
                  <w:proofErr w:type="spellEnd"/>
                  <w:r w:rsidRPr="00DB1F76">
                    <w:rPr>
                      <w:rFonts w:cs="Calibri"/>
                      <w:color w:val="000000" w:themeColor="text1"/>
                      <w:sz w:val="20"/>
                      <w:szCs w:val="20"/>
                    </w:rPr>
                    <w:t xml:space="preserve"> vodoopskrbnog sustava u Međimurskoj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6453" w:rsidRPr="00DB1F76" w:rsidRDefault="00FF06EA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26.749,85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136453" w:rsidRPr="00DB1F76" w:rsidRDefault="00FF06EA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36453" w:rsidRPr="00DB1F76" w:rsidRDefault="00E01BA6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26.749,85</w:t>
                  </w:r>
                </w:p>
              </w:tc>
            </w:tr>
          </w:tbl>
          <w:p w:rsidR="00F566CD" w:rsidRDefault="00F566CD" w:rsidP="00F566C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071CDD" w:rsidRDefault="00071CDD" w:rsidP="003236A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071CDD">
              <w:rPr>
                <w:rFonts w:ascii="Calibri" w:hAnsi="Calibri" w:cs="Calibri"/>
                <w:sz w:val="20"/>
                <w:szCs w:val="20"/>
              </w:rPr>
              <w:t xml:space="preserve">Rashodi za </w:t>
            </w:r>
            <w:proofErr w:type="spellStart"/>
            <w:r w:rsidRPr="00071CDD">
              <w:rPr>
                <w:rFonts w:ascii="Calibri" w:hAnsi="Calibri" w:cs="Calibri"/>
                <w:sz w:val="20"/>
                <w:szCs w:val="20"/>
              </w:rPr>
              <w:t>monitoring</w:t>
            </w:r>
            <w:proofErr w:type="spellEnd"/>
            <w:r w:rsidRPr="00071CDD">
              <w:rPr>
                <w:rFonts w:ascii="Calibri" w:hAnsi="Calibri" w:cs="Calibri"/>
                <w:sz w:val="20"/>
                <w:szCs w:val="20"/>
              </w:rPr>
              <w:t xml:space="preserve"> vodoopskrbnih sustava ovise o cijenama laboratorijskih usluga koje Zavod ima ugovoreno sa vanjskim ovlaštenim laboratorijem. </w:t>
            </w:r>
          </w:p>
          <w:p w:rsidR="00D54847" w:rsidRPr="00832ADA" w:rsidRDefault="00D54847" w:rsidP="00F566C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F566CD" w:rsidRPr="00832ADA" w:rsidRDefault="00F566CD" w:rsidP="00F566CD">
            <w:pPr>
              <w:rPr>
                <w:rFonts w:eastAsia="Times New Roman" w:cs="Calibri"/>
                <w:b/>
                <w:sz w:val="20"/>
                <w:szCs w:val="20"/>
              </w:rPr>
            </w:pPr>
            <w:r w:rsidRPr="00832ADA">
              <w:rPr>
                <w:rFonts w:cs="Calibri"/>
                <w:b/>
                <w:sz w:val="20"/>
                <w:szCs w:val="20"/>
              </w:rPr>
              <w:t>Pokazatelji rez</w:t>
            </w:r>
            <w:r w:rsidR="00496FF1">
              <w:rPr>
                <w:rFonts w:cs="Calibri"/>
                <w:b/>
                <w:sz w:val="20"/>
                <w:szCs w:val="20"/>
              </w:rPr>
              <w:t>ultata:</w:t>
            </w:r>
          </w:p>
          <w:tbl>
            <w:tblPr>
              <w:tblW w:w="628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1134"/>
              <w:gridCol w:w="1071"/>
              <w:gridCol w:w="1134"/>
              <w:gridCol w:w="1368"/>
            </w:tblGrid>
            <w:tr w:rsidR="00071CDD" w:rsidTr="00FF0C16">
              <w:trPr>
                <w:trHeight w:val="564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Pokazatelj</w:t>
                  </w:r>
                </w:p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rezultata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Jedinica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Ciljana vrijednost</w:t>
                  </w:r>
                </w:p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2025.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1CDD" w:rsidRPr="00FF0C16" w:rsidRDefault="00071CDD" w:rsidP="00071CD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Povećanje/smanjenje</w:t>
                  </w:r>
                </w:p>
              </w:tc>
              <w:tc>
                <w:tcPr>
                  <w:tcW w:w="13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1CDD" w:rsidRPr="00FF0C16" w:rsidRDefault="00FF06EA" w:rsidP="00071CD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I</w:t>
                  </w:r>
                  <w:r w:rsidR="00071CDD"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I.Izmjene</w:t>
                  </w:r>
                  <w:proofErr w:type="spellEnd"/>
                  <w:r w:rsidR="00071CDD"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i dopune </w:t>
                  </w:r>
                  <w:proofErr w:type="spellStart"/>
                  <w:r w:rsidR="00071CDD"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fin.plana</w:t>
                  </w:r>
                  <w:proofErr w:type="spellEnd"/>
                  <w:r w:rsidR="00071CDD"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za 2025.g.</w:t>
                  </w:r>
                </w:p>
              </w:tc>
            </w:tr>
            <w:tr w:rsidR="00071CDD" w:rsidTr="00FF0C16">
              <w:trPr>
                <w:trHeight w:val="282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Broj planiranih analiza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kom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156</w:t>
                  </w:r>
                </w:p>
              </w:tc>
            </w:tr>
            <w:tr w:rsidR="00071CDD" w:rsidTr="00FF0C16">
              <w:trPr>
                <w:trHeight w:val="282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Broj ostvarenih analiza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kom</w:t>
                  </w:r>
                </w:p>
              </w:tc>
              <w:tc>
                <w:tcPr>
                  <w:tcW w:w="10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156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1CDD" w:rsidRPr="00FF0C16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FF0C16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156</w:t>
                  </w:r>
                </w:p>
              </w:tc>
            </w:tr>
          </w:tbl>
          <w:p w:rsidR="00F566CD" w:rsidRDefault="00F566CD" w:rsidP="00F566C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832ADA">
              <w:rPr>
                <w:rFonts w:eastAsia="Times New Roman" w:cs="Calibri"/>
                <w:b/>
                <w:color w:val="000000"/>
                <w:sz w:val="16"/>
                <w:szCs w:val="16"/>
              </w:rPr>
              <w:t xml:space="preserve"> </w:t>
            </w:r>
          </w:p>
          <w:p w:rsidR="00FF06EA" w:rsidRDefault="00FF06EA" w:rsidP="00F566C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</w:p>
          <w:p w:rsidR="00FF06EA" w:rsidRDefault="00FF06EA" w:rsidP="00F566C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</w:p>
          <w:p w:rsidR="00FF06EA" w:rsidRPr="00481039" w:rsidRDefault="00FF06EA" w:rsidP="00F566CD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16"/>
                <w:szCs w:val="16"/>
              </w:rPr>
            </w:pPr>
          </w:p>
          <w:p w:rsidR="00F566CD" w:rsidRDefault="00F566CD" w:rsidP="00F566CD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:rsidR="00F566CD" w:rsidRPr="00832ADA" w:rsidRDefault="00F566CD" w:rsidP="00F566CD">
            <w:pPr>
              <w:spacing w:after="0" w:line="240" w:lineRule="auto"/>
              <w:rPr>
                <w:rFonts w:eastAsia="Times New Roman" w:cs="Calibri"/>
                <w:b/>
                <w:color w:val="FF0000"/>
                <w:sz w:val="20"/>
                <w:szCs w:val="20"/>
              </w:rPr>
            </w:pPr>
            <w:r w:rsidRPr="00832ADA">
              <w:rPr>
                <w:rFonts w:eastAsia="Times New Roman" w:cs="Calibri"/>
                <w:b/>
                <w:bCs/>
                <w:i/>
                <w:iCs/>
                <w:color w:val="FF0000"/>
                <w:sz w:val="20"/>
                <w:szCs w:val="20"/>
              </w:rPr>
              <w:t xml:space="preserve">AKTIVNOST </w:t>
            </w:r>
            <w:r w:rsidR="00FF06EA">
              <w:rPr>
                <w:rFonts w:eastAsia="Times New Roman" w:cs="Calibri"/>
                <w:b/>
                <w:color w:val="FF0000"/>
                <w:sz w:val="20"/>
                <w:szCs w:val="20"/>
              </w:rPr>
              <w:t>A100917</w:t>
            </w:r>
            <w:r w:rsidRPr="00832ADA">
              <w:rPr>
                <w:rFonts w:eastAsia="Times New Roman" w:cs="Calibr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32ADA">
              <w:rPr>
                <w:rFonts w:eastAsia="Times New Roman" w:cs="Calibri"/>
                <w:b/>
                <w:color w:val="FF0000"/>
                <w:sz w:val="20"/>
                <w:szCs w:val="20"/>
              </w:rPr>
              <w:t>Monitoring</w:t>
            </w:r>
            <w:proofErr w:type="spellEnd"/>
            <w:r w:rsidRPr="00832ADA">
              <w:rPr>
                <w:rFonts w:eastAsia="Times New Roman" w:cs="Calibri"/>
                <w:b/>
                <w:color w:val="FF0000"/>
                <w:sz w:val="20"/>
                <w:szCs w:val="20"/>
              </w:rPr>
              <w:t xml:space="preserve"> </w:t>
            </w:r>
            <w:r w:rsidR="00FF06EA">
              <w:rPr>
                <w:rFonts w:eastAsia="Times New Roman" w:cs="Calibri"/>
                <w:b/>
                <w:color w:val="FF0000"/>
                <w:sz w:val="20"/>
                <w:szCs w:val="20"/>
              </w:rPr>
              <w:t xml:space="preserve">invazivnih vrsta </w:t>
            </w:r>
            <w:r w:rsidRPr="00832ADA">
              <w:rPr>
                <w:rFonts w:eastAsia="Times New Roman" w:cs="Calibri"/>
                <w:b/>
                <w:color w:val="FF0000"/>
                <w:sz w:val="20"/>
                <w:szCs w:val="20"/>
              </w:rPr>
              <w:t>komaraca u Međimurskoj županiji</w:t>
            </w:r>
          </w:p>
          <w:p w:rsidR="002C5EC0" w:rsidRDefault="002C5EC0" w:rsidP="008E1211">
            <w:pPr>
              <w:spacing w:after="0" w:line="240" w:lineRule="auto"/>
              <w:jc w:val="both"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Opis programa</w:t>
            </w:r>
            <w:r w:rsidR="00FF06EA">
              <w:rPr>
                <w:rFonts w:eastAsia="Times New Roman" w:cstheme="minorHAnsi"/>
                <w:sz w:val="20"/>
                <w:szCs w:val="20"/>
              </w:rPr>
              <w:t>: A100917</w:t>
            </w:r>
            <w:r w:rsidRPr="002C5EC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proofErr w:type="spellStart"/>
            <w:r w:rsidRPr="002C5EC0">
              <w:rPr>
                <w:rFonts w:eastAsia="Times New Roman" w:cstheme="minorHAnsi"/>
                <w:sz w:val="20"/>
                <w:szCs w:val="20"/>
              </w:rPr>
              <w:t>Monitoring</w:t>
            </w:r>
            <w:proofErr w:type="spellEnd"/>
            <w:r w:rsidRPr="002C5EC0">
              <w:rPr>
                <w:rFonts w:eastAsia="Times New Roman" w:cstheme="minorHAnsi"/>
                <w:sz w:val="20"/>
                <w:szCs w:val="20"/>
              </w:rPr>
              <w:t xml:space="preserve"> komaraca u Međimurskoj županiji je sustavno praćenje komaraca, koje obuhvaća put njihovog širenja, njihovo razmnožavanje i nastanjivanje na odabranim područjima. 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Zakonske i druge pravne osnove programa</w:t>
            </w:r>
            <w:r w:rsidRPr="002C5EC0">
              <w:rPr>
                <w:rFonts w:eastAsia="Times New Roman" w:cstheme="minorHAnsi"/>
                <w:sz w:val="20"/>
                <w:szCs w:val="20"/>
              </w:rPr>
              <w:t>:</w:t>
            </w:r>
          </w:p>
          <w:p w:rsidR="002C5EC0" w:rsidRPr="002C5EC0" w:rsidRDefault="002C5EC0" w:rsidP="002C5EC0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Cs/>
                <w:sz w:val="20"/>
                <w:szCs w:val="20"/>
              </w:rPr>
              <w:t>Izmjenama i dopunama Programa mjera suzbijanja patogenih mikroorganizama, štetnih člankonožaca (</w:t>
            </w:r>
            <w:proofErr w:type="spellStart"/>
            <w:r w:rsidRPr="002C5EC0">
              <w:rPr>
                <w:rFonts w:eastAsia="Times New Roman" w:cstheme="minorHAnsi"/>
                <w:bCs/>
                <w:sz w:val="20"/>
                <w:szCs w:val="20"/>
              </w:rPr>
              <w:t>Arthropoda</w:t>
            </w:r>
            <w:proofErr w:type="spellEnd"/>
            <w:r w:rsidRPr="002C5EC0">
              <w:rPr>
                <w:rFonts w:eastAsia="Times New Roman" w:cstheme="minorHAnsi"/>
                <w:bCs/>
                <w:sz w:val="20"/>
                <w:szCs w:val="20"/>
              </w:rPr>
              <w:t xml:space="preserve">) i štetnih glodavaca čije je planirano, organizirano i sustavno suzbijanje mjerama dezinfekcije, dezinsekcije i deratizacije od javnozdravstvene važnosti za Republiku Hrvatsku (Narodne novine br. 62/18), </w:t>
            </w:r>
            <w:proofErr w:type="spellStart"/>
            <w:r w:rsidRPr="002C5EC0">
              <w:rPr>
                <w:rFonts w:eastAsia="Times New Roman" w:cstheme="minorHAnsi"/>
                <w:bCs/>
                <w:sz w:val="20"/>
                <w:szCs w:val="20"/>
              </w:rPr>
              <w:t>podtočka</w:t>
            </w:r>
            <w:proofErr w:type="spellEnd"/>
            <w:r w:rsidRPr="002C5EC0">
              <w:rPr>
                <w:rFonts w:eastAsia="Times New Roman" w:cstheme="minorHAnsi"/>
                <w:bCs/>
                <w:sz w:val="20"/>
                <w:szCs w:val="20"/>
              </w:rPr>
              <w:t xml:space="preserve"> 2.1.4., stavak 11, </w:t>
            </w:r>
            <w:r w:rsidRPr="002C5EC0">
              <w:rPr>
                <w:rFonts w:eastAsia="Times New Roman" w:cstheme="minorHAnsi"/>
                <w:bCs/>
                <w:i/>
                <w:sz w:val="20"/>
                <w:szCs w:val="20"/>
              </w:rPr>
              <w:t>Županije, odnosno Grad Zagreb obvezni su omogućiti provođenje programa na području svoje nadležnosti s ciljem sprječavanja pojave i mogućeg širenja zaraznih bolesti koje prenose komarci.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4"/>
                <w:szCs w:val="24"/>
              </w:rPr>
              <w:t> 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b/>
                <w:sz w:val="20"/>
                <w:szCs w:val="20"/>
              </w:rPr>
              <w:t>Ci</w:t>
            </w:r>
            <w:r w:rsidR="00071CDD">
              <w:rPr>
                <w:rFonts w:eastAsia="Times New Roman" w:cstheme="minorHAnsi"/>
                <w:b/>
                <w:sz w:val="20"/>
                <w:szCs w:val="20"/>
              </w:rPr>
              <w:t>ljevi provedbe programa u  2025.g.</w:t>
            </w:r>
          </w:p>
          <w:p w:rsidR="002C5EC0" w:rsidRPr="002C5EC0" w:rsidRDefault="002C5EC0" w:rsidP="002C5EC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2C5EC0">
              <w:rPr>
                <w:rFonts w:eastAsia="Times New Roman" w:cstheme="minorHAnsi"/>
                <w:sz w:val="20"/>
                <w:szCs w:val="20"/>
              </w:rPr>
              <w:t>Praćenjem brojnosti, vrsta i rasprostranjenosti dobivamo rezultate pomoću kojih možemo donositi pravovremene i valjane mjere dezinsekcije, a sve s ciljem smanjenja broja komaraca i posljedično vektora zaraznih bolesti.</w:t>
            </w:r>
          </w:p>
          <w:p w:rsidR="00F566CD" w:rsidRPr="00832ADA" w:rsidRDefault="00F566CD" w:rsidP="008E121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  <w:p w:rsidR="00F566CD" w:rsidRPr="00832ADA" w:rsidRDefault="00F566CD" w:rsidP="00F566CD">
            <w:pPr>
              <w:pStyle w:val="Odlomakpopisa"/>
              <w:numPr>
                <w:ilvl w:val="0"/>
                <w:numId w:val="9"/>
              </w:numPr>
              <w:spacing w:after="0"/>
              <w:rPr>
                <w:rFonts w:cs="Calibri"/>
                <w:b/>
                <w:sz w:val="20"/>
                <w:szCs w:val="20"/>
              </w:rPr>
            </w:pPr>
            <w:r w:rsidRPr="00832ADA">
              <w:rPr>
                <w:rFonts w:cs="Calibri"/>
                <w:b/>
                <w:sz w:val="20"/>
                <w:szCs w:val="20"/>
              </w:rPr>
              <w:t>Procjena i ishodište potrebnih sredstava za akt</w:t>
            </w:r>
            <w:r w:rsidR="00B1609F">
              <w:rPr>
                <w:rFonts w:cs="Calibri"/>
                <w:b/>
                <w:sz w:val="20"/>
                <w:szCs w:val="20"/>
              </w:rPr>
              <w:t>ivnost: MONITORING KOMARACA U MEĐIMURSKOJ ŽUPANIJI</w:t>
            </w:r>
          </w:p>
          <w:p w:rsidR="00F566CD" w:rsidRPr="00832ADA" w:rsidRDefault="00F566CD" w:rsidP="00F566CD">
            <w:pPr>
              <w:spacing w:after="0"/>
              <w:rPr>
                <w:rFonts w:cs="Calibri"/>
                <w:sz w:val="20"/>
                <w:szCs w:val="20"/>
              </w:rPr>
            </w:pPr>
          </w:p>
          <w:tbl>
            <w:tblPr>
              <w:tblW w:w="9255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699"/>
              <w:gridCol w:w="1416"/>
              <w:gridCol w:w="1383"/>
              <w:gridCol w:w="1311"/>
              <w:gridCol w:w="1446"/>
            </w:tblGrid>
            <w:tr w:rsidR="00071CDD" w:rsidTr="00D34235">
              <w:trPr>
                <w:trHeight w:val="564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71CDD" w:rsidRPr="00071CDD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071CDD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071CDD" w:rsidRPr="00071CDD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071CDD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Proračun</w:t>
                  </w:r>
                </w:p>
                <w:p w:rsidR="00071CDD" w:rsidRPr="00071CDD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071CDD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2024. 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1CDD" w:rsidRPr="00071CDD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071CDD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071CDD" w:rsidRPr="00071CDD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071CDD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2025.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1CDD" w:rsidRPr="00071CDD" w:rsidRDefault="00071CDD" w:rsidP="00071CDD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071CDD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Povećanje/smanjenje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1CDD" w:rsidRPr="00071CDD" w:rsidRDefault="00071CDD" w:rsidP="00071CDD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071CDD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I</w:t>
                  </w:r>
                  <w:r w:rsidR="00FF06E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I</w:t>
                  </w:r>
                  <w:r w:rsidRPr="00071CDD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.Izmjene</w:t>
                  </w:r>
                  <w:proofErr w:type="spellEnd"/>
                  <w:r w:rsidRPr="00071CDD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i dopune </w:t>
                  </w:r>
                  <w:proofErr w:type="spellStart"/>
                  <w:r w:rsidRPr="00071CDD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fin.plana</w:t>
                  </w:r>
                  <w:proofErr w:type="spellEnd"/>
                  <w:r w:rsidRPr="00071CDD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 xml:space="preserve"> za 2025.g.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Oprema i potrošni materijal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1.115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Troškovi prijevoza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995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Troškovi rada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566CD" w:rsidRPr="00832ADA" w:rsidRDefault="00071CD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1.991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cs="Calibri"/>
                      <w:bCs/>
                      <w:color w:val="000000"/>
                      <w:sz w:val="20"/>
                      <w:szCs w:val="20"/>
                    </w:rPr>
                    <w:t>Usluga determinacije komaraca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398</w:t>
                  </w:r>
                </w:p>
              </w:tc>
            </w:tr>
            <w:tr w:rsidR="00F566CD" w:rsidTr="00D34235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Ukupno program: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F566CD" w:rsidRPr="00832ADA" w:rsidRDefault="00071CD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F566CD" w:rsidRPr="00832ADA" w:rsidRDefault="00F566CD" w:rsidP="00D34235">
                  <w:pPr>
                    <w:spacing w:after="0" w:line="240" w:lineRule="auto"/>
                    <w:jc w:val="center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 w:rsidRPr="00832ADA"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4.499</w:t>
                  </w:r>
                </w:p>
              </w:tc>
            </w:tr>
          </w:tbl>
          <w:p w:rsidR="00D54847" w:rsidRPr="00205A14" w:rsidRDefault="00D54847" w:rsidP="00F566CD">
            <w:pPr>
              <w:rPr>
                <w:b/>
                <w:color w:val="FF0000"/>
              </w:rPr>
            </w:pPr>
          </w:p>
          <w:p w:rsidR="00E01BA6" w:rsidRPr="00205A14" w:rsidRDefault="00FF06EA" w:rsidP="00FF06EA">
            <w:pPr>
              <w:pStyle w:val="Bezproreda"/>
              <w:jc w:val="both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</w:rPr>
              <w:t xml:space="preserve">Aktivnost </w:t>
            </w:r>
            <w:r w:rsidR="00E01BA6" w:rsidRPr="00205A14">
              <w:rPr>
                <w:rFonts w:ascii="Calibri" w:hAnsi="Calibri" w:cs="Calibri"/>
                <w:b/>
                <w:color w:val="FF0000"/>
              </w:rPr>
              <w:t>A10092</w:t>
            </w:r>
            <w:r>
              <w:rPr>
                <w:rFonts w:ascii="Calibri" w:hAnsi="Calibri" w:cs="Calibri"/>
                <w:b/>
                <w:color w:val="FF0000"/>
              </w:rPr>
              <w:t>5</w:t>
            </w:r>
            <w:r w:rsidR="00E01BA6" w:rsidRPr="00205A14">
              <w:rPr>
                <w:rFonts w:ascii="Calibri" w:hAnsi="Calibri" w:cs="Calibri"/>
                <w:b/>
                <w:color w:val="FF0000"/>
              </w:rPr>
              <w:t>: Promocija preventivno javno zdravstvenih programa</w:t>
            </w:r>
          </w:p>
          <w:p w:rsidR="00E01BA6" w:rsidRPr="00205A14" w:rsidRDefault="00E01BA6" w:rsidP="00F566CD">
            <w:pPr>
              <w:rPr>
                <w:b/>
              </w:rPr>
            </w:pPr>
          </w:p>
          <w:p w:rsidR="00205A14" w:rsidRDefault="00205A14" w:rsidP="00F566CD">
            <w:pPr>
              <w:rPr>
                <w:rFonts w:cstheme="minorHAnsi"/>
                <w:b/>
                <w:sz w:val="20"/>
                <w:szCs w:val="20"/>
              </w:rPr>
            </w:pPr>
            <w:r w:rsidRPr="00205A14">
              <w:rPr>
                <w:rFonts w:cstheme="minorHAnsi"/>
                <w:b/>
                <w:sz w:val="20"/>
                <w:szCs w:val="20"/>
              </w:rPr>
              <w:t>Opis programa:</w:t>
            </w:r>
          </w:p>
          <w:p w:rsidR="004A3168" w:rsidRPr="004A3168" w:rsidRDefault="004A3168" w:rsidP="00F566C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A3168">
              <w:rPr>
                <w:rFonts w:cstheme="minorHAnsi"/>
                <w:b/>
                <w:sz w:val="20"/>
                <w:szCs w:val="20"/>
              </w:rPr>
              <w:t>BeACTIVE</w:t>
            </w:r>
            <w:proofErr w:type="spellEnd"/>
            <w:r w:rsidRPr="004A3168">
              <w:rPr>
                <w:rFonts w:cstheme="minorHAnsi"/>
                <w:b/>
                <w:sz w:val="20"/>
                <w:szCs w:val="20"/>
              </w:rPr>
              <w:t xml:space="preserve"> sat tjelesne i zdravstvene kulture na otvorenom i </w:t>
            </w:r>
            <w:proofErr w:type="spellStart"/>
            <w:r w:rsidRPr="004A3168">
              <w:rPr>
                <w:rFonts w:cstheme="minorHAnsi"/>
                <w:b/>
                <w:sz w:val="20"/>
                <w:szCs w:val="20"/>
              </w:rPr>
              <w:t>FlashMOVE</w:t>
            </w:r>
            <w:proofErr w:type="spellEnd"/>
            <w:r w:rsidRPr="004A3168">
              <w:rPr>
                <w:rFonts w:cstheme="minorHAnsi"/>
                <w:b/>
                <w:sz w:val="20"/>
                <w:szCs w:val="20"/>
              </w:rPr>
              <w:t xml:space="preserve"> plesni događaj</w:t>
            </w:r>
          </w:p>
          <w:p w:rsidR="00205A14" w:rsidRPr="00205A14" w:rsidRDefault="00205A14" w:rsidP="004A3168">
            <w:pPr>
              <w:jc w:val="both"/>
              <w:rPr>
                <w:rFonts w:cstheme="minorHAnsi"/>
                <w:sz w:val="20"/>
                <w:szCs w:val="20"/>
              </w:rPr>
            </w:pPr>
            <w:r w:rsidRPr="00205A14">
              <w:rPr>
                <w:rFonts w:cstheme="minorHAnsi"/>
                <w:sz w:val="20"/>
                <w:szCs w:val="20"/>
              </w:rPr>
              <w:t xml:space="preserve">Učenici 7. i 8. razreda osnovne škole, učenici srednjih škola, djeca vrtićke dobi, </w:t>
            </w:r>
            <w:proofErr w:type="spellStart"/>
            <w:r w:rsidRPr="00205A14">
              <w:rPr>
                <w:rFonts w:cstheme="minorHAnsi"/>
                <w:sz w:val="20"/>
                <w:szCs w:val="20"/>
              </w:rPr>
              <w:t>predstavnci</w:t>
            </w:r>
            <w:proofErr w:type="spellEnd"/>
            <w:r w:rsidRPr="00205A1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05A14">
              <w:rPr>
                <w:rFonts w:cstheme="minorHAnsi"/>
                <w:sz w:val="20"/>
                <w:szCs w:val="20"/>
              </w:rPr>
              <w:t>zdr</w:t>
            </w:r>
            <w:proofErr w:type="spellEnd"/>
            <w:r w:rsidRPr="00205A14">
              <w:rPr>
                <w:rFonts w:cstheme="minorHAnsi"/>
                <w:sz w:val="20"/>
                <w:szCs w:val="20"/>
              </w:rPr>
              <w:t>. i odgojno-obrazovnih ustanova kao i članovi različitih sportsko-rekreativnih udruga</w:t>
            </w:r>
            <w:r>
              <w:rPr>
                <w:rFonts w:cstheme="minorHAnsi"/>
                <w:sz w:val="20"/>
                <w:szCs w:val="20"/>
              </w:rPr>
              <w:t xml:space="preserve"> tijekom mjesec dana uvježbavaju </w:t>
            </w:r>
            <w:r w:rsidRPr="00205A14">
              <w:rPr>
                <w:rFonts w:cstheme="minorHAnsi"/>
                <w:sz w:val="20"/>
                <w:szCs w:val="20"/>
              </w:rPr>
              <w:t xml:space="preserve"> zajedničku plesnu koreografiju koja će se  izvesti  na Trgu Republike u Čakovcu u sklopu Europskog tjedna sporta 29. rujna 2025. godine. Cijeli događaj je sadržajno  bogat te će se organizirati kao sat tjelesne i zdravstvene kulture uz brojne edukativne sadržaje. Za sve učesnike organiziraju se sportske aktivnosti. Cijeli događaj  završava zajedničkim plesom svih sudionika. </w:t>
            </w:r>
          </w:p>
          <w:p w:rsidR="00205A14" w:rsidRPr="00205A14" w:rsidRDefault="00205A14" w:rsidP="004A3168">
            <w:pPr>
              <w:jc w:val="both"/>
              <w:rPr>
                <w:rFonts w:cstheme="minorHAnsi"/>
                <w:sz w:val="20"/>
                <w:szCs w:val="20"/>
              </w:rPr>
            </w:pPr>
            <w:r w:rsidRPr="00205A14">
              <w:rPr>
                <w:rFonts w:cstheme="minorHAnsi"/>
                <w:sz w:val="20"/>
                <w:szCs w:val="20"/>
              </w:rPr>
              <w:t xml:space="preserve">Istovremeno se obilježava Svjetski dan srca te se dijeli mnoštvo edukativnih materijala uz druge edukativne sadržaje (analiza sastava tjelesne mase, mjerenje </w:t>
            </w:r>
            <w:proofErr w:type="spellStart"/>
            <w:r w:rsidRPr="00205A14">
              <w:rPr>
                <w:rFonts w:cstheme="minorHAnsi"/>
                <w:sz w:val="20"/>
                <w:szCs w:val="20"/>
              </w:rPr>
              <w:t>kvnog</w:t>
            </w:r>
            <w:proofErr w:type="spellEnd"/>
            <w:r w:rsidRPr="00205A14">
              <w:rPr>
                <w:rFonts w:cstheme="minorHAnsi"/>
                <w:sz w:val="20"/>
                <w:szCs w:val="20"/>
              </w:rPr>
              <w:t xml:space="preserve"> tlaka, konzultacije sa </w:t>
            </w:r>
            <w:proofErr w:type="spellStart"/>
            <w:r w:rsidRPr="00205A14">
              <w:rPr>
                <w:rFonts w:cstheme="minorHAnsi"/>
                <w:sz w:val="20"/>
                <w:szCs w:val="20"/>
              </w:rPr>
              <w:t>zdr</w:t>
            </w:r>
            <w:proofErr w:type="spellEnd"/>
            <w:r w:rsidRPr="00205A14">
              <w:rPr>
                <w:rFonts w:cstheme="minorHAnsi"/>
                <w:sz w:val="20"/>
                <w:szCs w:val="20"/>
              </w:rPr>
              <w:t>. djelatnicima), radionice oživljavanja i drugih postupaka koji se poduzimaju kod</w:t>
            </w:r>
            <w:r w:rsidR="00FF06EA">
              <w:rPr>
                <w:rFonts w:cstheme="minorHAnsi"/>
                <w:sz w:val="20"/>
                <w:szCs w:val="20"/>
              </w:rPr>
              <w:t xml:space="preserve"> životno ugroženih osoba i dr.</w:t>
            </w:r>
          </w:p>
          <w:p w:rsidR="00205A14" w:rsidRPr="00205A14" w:rsidRDefault="00205A14" w:rsidP="00F566CD">
            <w:pPr>
              <w:rPr>
                <w:rFonts w:cstheme="minorHAnsi"/>
                <w:sz w:val="20"/>
                <w:szCs w:val="20"/>
              </w:rPr>
            </w:pPr>
            <w:r w:rsidRPr="00205A14">
              <w:rPr>
                <w:rFonts w:cstheme="minorHAnsi"/>
                <w:b/>
                <w:sz w:val="20"/>
                <w:szCs w:val="20"/>
              </w:rPr>
              <w:t>Procjena i ishodište potrebnih sredstava za aktivnost:</w:t>
            </w:r>
          </w:p>
          <w:tbl>
            <w:tblPr>
              <w:tblW w:w="7839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3699"/>
              <w:gridCol w:w="1383"/>
              <w:gridCol w:w="1311"/>
              <w:gridCol w:w="1446"/>
            </w:tblGrid>
            <w:tr w:rsidR="00E01BA6" w:rsidRPr="00205A14" w:rsidTr="00205A14">
              <w:trPr>
                <w:trHeight w:val="564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E01BA6" w:rsidRPr="00205A14" w:rsidRDefault="00E01BA6" w:rsidP="00205A1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205A14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Naziv aktivnosti</w:t>
                  </w:r>
                </w:p>
              </w:tc>
              <w:tc>
                <w:tcPr>
                  <w:tcW w:w="13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BA6" w:rsidRPr="00205A14" w:rsidRDefault="00E01BA6" w:rsidP="00205A1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205A14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Plan</w:t>
                  </w:r>
                </w:p>
                <w:p w:rsidR="00E01BA6" w:rsidRPr="00205A14" w:rsidRDefault="00E01BA6" w:rsidP="00205A1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205A14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2025. 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BA6" w:rsidRPr="00205A14" w:rsidRDefault="00E01BA6" w:rsidP="00205A1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205A14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Povećanje/smanjenje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01BA6" w:rsidRPr="00205A14" w:rsidRDefault="00FF06EA" w:rsidP="00205A1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I</w:t>
                  </w:r>
                  <w:r w:rsidR="00E01BA6" w:rsidRPr="00205A14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I.Izmjene</w:t>
                  </w:r>
                  <w:proofErr w:type="spellEnd"/>
                  <w:r w:rsidR="00E01BA6" w:rsidRPr="00205A14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i dopune </w:t>
                  </w:r>
                  <w:proofErr w:type="spellStart"/>
                  <w:r w:rsidR="00E01BA6" w:rsidRPr="00205A14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fin.plana</w:t>
                  </w:r>
                  <w:proofErr w:type="spellEnd"/>
                  <w:r w:rsidR="00E01BA6" w:rsidRPr="00205A14"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 xml:space="preserve"> za 2025.g.</w:t>
                  </w:r>
                </w:p>
              </w:tc>
            </w:tr>
            <w:tr w:rsidR="00E01BA6" w:rsidRPr="00205A14" w:rsidTr="00205A14">
              <w:trPr>
                <w:trHeight w:val="282"/>
              </w:trPr>
              <w:tc>
                <w:tcPr>
                  <w:tcW w:w="3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01BA6" w:rsidRPr="00205A14" w:rsidRDefault="00E01BA6" w:rsidP="00205A14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 w:rsidRPr="00205A14">
                    <w:rPr>
                      <w:rFonts w:cstheme="minorHAnsi"/>
                      <w:color w:val="000000" w:themeColor="text1"/>
                      <w:sz w:val="20"/>
                      <w:szCs w:val="20"/>
                    </w:rPr>
                    <w:t>Promocija preventivno javno zdravstvenih programa</w:t>
                  </w:r>
                </w:p>
              </w:tc>
              <w:tc>
                <w:tcPr>
                  <w:tcW w:w="13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1BA6" w:rsidRPr="00205A14" w:rsidRDefault="00FF06EA" w:rsidP="00205A1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400,00</w:t>
                  </w:r>
                </w:p>
              </w:tc>
              <w:tc>
                <w:tcPr>
                  <w:tcW w:w="13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E01BA6" w:rsidRPr="00205A14" w:rsidRDefault="00FF06EA" w:rsidP="00205A14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E01BA6" w:rsidRPr="00205A14" w:rsidRDefault="00166B6A" w:rsidP="00166B6A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theme="minorHAnsi"/>
                      <w:color w:val="000000"/>
                      <w:sz w:val="20"/>
                      <w:szCs w:val="20"/>
                    </w:rPr>
                    <w:t>400,00</w:t>
                  </w:r>
                </w:p>
              </w:tc>
            </w:tr>
          </w:tbl>
          <w:p w:rsidR="00E01BA6" w:rsidRDefault="00E01BA6" w:rsidP="00F566CD">
            <w:pPr>
              <w:rPr>
                <w:rFonts w:cstheme="minorHAnsi"/>
                <w:sz w:val="20"/>
                <w:szCs w:val="20"/>
              </w:rPr>
            </w:pPr>
          </w:p>
          <w:p w:rsidR="00FF06EA" w:rsidRPr="00205A14" w:rsidRDefault="00FF06EA" w:rsidP="00F566CD">
            <w:pPr>
              <w:rPr>
                <w:rFonts w:cstheme="minorHAnsi"/>
                <w:sz w:val="20"/>
                <w:szCs w:val="20"/>
              </w:rPr>
            </w:pPr>
          </w:p>
          <w:p w:rsidR="004A3168" w:rsidRDefault="00205A14" w:rsidP="004A316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205A14">
              <w:rPr>
                <w:rFonts w:eastAsia="Times New Roman" w:cstheme="minorHAnsi"/>
                <w:b/>
                <w:sz w:val="20"/>
                <w:szCs w:val="20"/>
              </w:rPr>
              <w:t>Ciljevi provedbe programa u  2025.g.</w:t>
            </w:r>
          </w:p>
          <w:p w:rsidR="004A3168" w:rsidRPr="004A3168" w:rsidRDefault="004A3168" w:rsidP="004A316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205A14" w:rsidRPr="00205A14" w:rsidRDefault="00205A14" w:rsidP="00205A14">
            <w:pPr>
              <w:rPr>
                <w:rFonts w:cstheme="minorHAnsi"/>
                <w:sz w:val="20"/>
                <w:szCs w:val="20"/>
              </w:rPr>
            </w:pPr>
            <w:r w:rsidRPr="00205A14">
              <w:rPr>
                <w:rFonts w:cstheme="minorHAnsi"/>
                <w:sz w:val="20"/>
                <w:szCs w:val="20"/>
              </w:rPr>
              <w:t xml:space="preserve">• Promocija i osnaživanje svijesti sudionika i javnosti o važnosti tjelesne aktivnosti za zdravlje, osobito djece i mladih ali i ljudi svih generacija </w:t>
            </w:r>
          </w:p>
          <w:p w:rsidR="00205A14" w:rsidRPr="00205A14" w:rsidRDefault="00205A14" w:rsidP="00205A14">
            <w:pPr>
              <w:rPr>
                <w:rFonts w:cstheme="minorHAnsi"/>
                <w:sz w:val="20"/>
                <w:szCs w:val="20"/>
              </w:rPr>
            </w:pPr>
            <w:r w:rsidRPr="00205A14">
              <w:rPr>
                <w:rFonts w:cstheme="minorHAnsi"/>
                <w:sz w:val="20"/>
                <w:szCs w:val="20"/>
              </w:rPr>
              <w:t xml:space="preserve">• Promocija  vrijednosti Europskog tjedna sporta </w:t>
            </w:r>
          </w:p>
          <w:p w:rsidR="00205A14" w:rsidRPr="00205A14" w:rsidRDefault="004A3168" w:rsidP="00205A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• Medijska</w:t>
            </w:r>
            <w:r w:rsidR="00205A14" w:rsidRPr="00205A14">
              <w:rPr>
                <w:rFonts w:cstheme="minorHAnsi"/>
                <w:sz w:val="20"/>
                <w:szCs w:val="20"/>
              </w:rPr>
              <w:t xml:space="preserve"> pozornost i stvaranje pozitivne slike o Europskom tjednu sporta</w:t>
            </w:r>
          </w:p>
          <w:p w:rsidR="00205A14" w:rsidRPr="00205A14" w:rsidRDefault="00205A14" w:rsidP="00205A14">
            <w:pPr>
              <w:rPr>
                <w:rFonts w:cstheme="minorHAnsi"/>
                <w:sz w:val="20"/>
                <w:szCs w:val="20"/>
              </w:rPr>
            </w:pPr>
            <w:r w:rsidRPr="00205A14">
              <w:rPr>
                <w:rFonts w:cstheme="minorHAnsi"/>
                <w:sz w:val="20"/>
                <w:szCs w:val="20"/>
              </w:rPr>
              <w:t>• Zajedništvo koje  ujedinjuje raznolikost aktivnosti koje se u cijeloj Europi provode za vrijeme Europskog tjedna sporta</w:t>
            </w:r>
          </w:p>
          <w:p w:rsidR="00205A14" w:rsidRPr="00205A14" w:rsidRDefault="00205A14" w:rsidP="00205A14">
            <w:pPr>
              <w:rPr>
                <w:rFonts w:cstheme="minorHAnsi"/>
                <w:sz w:val="20"/>
                <w:szCs w:val="20"/>
              </w:rPr>
            </w:pPr>
            <w:r w:rsidRPr="00205A14">
              <w:rPr>
                <w:rFonts w:cstheme="minorHAnsi"/>
                <w:sz w:val="20"/>
                <w:szCs w:val="20"/>
              </w:rPr>
              <w:t>• Zabava sudionika tijekom sportskih aktivnosti i posebno tijekom plesa</w:t>
            </w:r>
          </w:p>
          <w:p w:rsidR="00205A14" w:rsidRPr="00205A14" w:rsidRDefault="00205A14" w:rsidP="00205A14">
            <w:pPr>
              <w:rPr>
                <w:rFonts w:cstheme="minorHAnsi"/>
                <w:sz w:val="20"/>
                <w:szCs w:val="20"/>
              </w:rPr>
            </w:pPr>
            <w:r w:rsidRPr="00205A14">
              <w:rPr>
                <w:rFonts w:cstheme="minorHAnsi"/>
                <w:sz w:val="20"/>
                <w:szCs w:val="20"/>
              </w:rPr>
              <w:t xml:space="preserve">• Okupljanje različitih generacija ljudi na jednom mjestu – s naglaskom na mlade. </w:t>
            </w:r>
          </w:p>
          <w:p w:rsidR="00FF0C16" w:rsidRPr="004A3168" w:rsidRDefault="00205A14" w:rsidP="004A3168">
            <w:pPr>
              <w:rPr>
                <w:rFonts w:cstheme="minorHAnsi"/>
                <w:sz w:val="20"/>
                <w:szCs w:val="20"/>
              </w:rPr>
            </w:pPr>
            <w:r w:rsidRPr="004A3168">
              <w:rPr>
                <w:rFonts w:cstheme="minorHAnsi"/>
                <w:sz w:val="20"/>
                <w:szCs w:val="20"/>
              </w:rPr>
              <w:t>Predstavljanjem različitih sportova i uspješnih sportaša želimo dodatno motivirati mlade da iskoriste svoje talente, te da se okušaju i u raz</w:t>
            </w:r>
            <w:r w:rsidR="00166B6A" w:rsidRPr="004A3168">
              <w:rPr>
                <w:rFonts w:cstheme="minorHAnsi"/>
                <w:sz w:val="20"/>
                <w:szCs w:val="20"/>
              </w:rPr>
              <w:t>ličitim sportskim disciplinama.</w:t>
            </w:r>
          </w:p>
          <w:p w:rsidR="00262D13" w:rsidRDefault="00262D13" w:rsidP="00262D13">
            <w:pPr>
              <w:rPr>
                <w:rFonts w:cs="Calibri"/>
                <w:sz w:val="20"/>
                <w:szCs w:val="20"/>
              </w:rPr>
            </w:pPr>
          </w:p>
          <w:tbl>
            <w:tblPr>
              <w:tblW w:w="2880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</w:tblGrid>
            <w:tr w:rsidR="00262D13" w:rsidTr="00262D13">
              <w:trPr>
                <w:trHeight w:val="300"/>
              </w:trPr>
              <w:tc>
                <w:tcPr>
                  <w:tcW w:w="2880" w:type="dxa"/>
                  <w:noWrap/>
                  <w:vAlign w:val="bottom"/>
                  <w:hideMark/>
                </w:tcPr>
                <w:p w:rsidR="00262D13" w:rsidRDefault="00262D1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KLASA: 400-04/25-04/2</w:t>
                  </w:r>
                </w:p>
              </w:tc>
            </w:tr>
            <w:tr w:rsidR="00262D13" w:rsidTr="00262D13">
              <w:trPr>
                <w:trHeight w:val="300"/>
              </w:trPr>
              <w:tc>
                <w:tcPr>
                  <w:tcW w:w="2880" w:type="dxa"/>
                  <w:noWrap/>
                  <w:vAlign w:val="bottom"/>
                  <w:hideMark/>
                </w:tcPr>
                <w:p w:rsidR="00262D13" w:rsidRDefault="00262D1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URBROJ: 2109-70-03-25/4</w:t>
                  </w:r>
                </w:p>
              </w:tc>
            </w:tr>
            <w:tr w:rsidR="00262D13" w:rsidTr="00262D13">
              <w:trPr>
                <w:trHeight w:val="70"/>
              </w:trPr>
              <w:tc>
                <w:tcPr>
                  <w:tcW w:w="2880" w:type="dxa"/>
                  <w:noWrap/>
                  <w:vAlign w:val="bottom"/>
                  <w:hideMark/>
                </w:tcPr>
                <w:p w:rsidR="00262D13" w:rsidRDefault="00262D13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Times New Roman" w:cs="Calibri"/>
                      <w:color w:val="000000"/>
                      <w:sz w:val="20"/>
                      <w:szCs w:val="20"/>
                    </w:rPr>
                    <w:t>Čakovec, 24.11.2025.</w:t>
                  </w:r>
                </w:p>
              </w:tc>
            </w:tr>
          </w:tbl>
          <w:p w:rsidR="00262D13" w:rsidRDefault="00262D13" w:rsidP="00262D13">
            <w:pPr>
              <w:rPr>
                <w:rFonts w:ascii="Calibri" w:hAnsi="Calibri" w:cs="Calibri"/>
                <w:sz w:val="20"/>
                <w:szCs w:val="20"/>
                <w:lang w:eastAsia="en-US"/>
              </w:rPr>
            </w:pPr>
          </w:p>
          <w:p w:rsidR="00262D13" w:rsidRDefault="00262D13" w:rsidP="00262D13">
            <w:pPr>
              <w:spacing w:line="240" w:lineRule="auto"/>
              <w:ind w:left="1843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Cambria" w:hAnsi="Cambria"/>
                <w:color w:val="000000"/>
              </w:rPr>
              <w:t xml:space="preserve">                                                                  </w:t>
            </w:r>
            <w:r>
              <w:rPr>
                <w:rFonts w:cs="Calibri"/>
                <w:color w:val="000000"/>
                <w:sz w:val="20"/>
                <w:szCs w:val="20"/>
              </w:rPr>
              <w:t>Predsjednik Upravnog vijeća</w:t>
            </w:r>
          </w:p>
          <w:p w:rsidR="00262D13" w:rsidRDefault="00262D13" w:rsidP="00262D13">
            <w:pPr>
              <w:spacing w:line="240" w:lineRule="auto"/>
              <w:ind w:left="1843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                ZZJZ Međimurske županije</w:t>
            </w:r>
          </w:p>
          <w:p w:rsidR="00262D13" w:rsidRDefault="00262D13" w:rsidP="00262D13">
            <w:pPr>
              <w:spacing w:line="240" w:lineRule="auto"/>
              <w:ind w:left="1843" w:firstLine="72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Dr.sc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. Predrag Kočila, dr.vet.med.,</w:t>
            </w:r>
          </w:p>
          <w:p w:rsidR="00262D13" w:rsidRDefault="00262D13" w:rsidP="00262D13">
            <w:pPr>
              <w:spacing w:line="240" w:lineRule="auto"/>
              <w:ind w:left="1843" w:firstLine="72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viši znanstveni suradnik</w:t>
            </w:r>
          </w:p>
          <w:p w:rsidR="00F566CD" w:rsidRDefault="00F566CD" w:rsidP="00F566C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F566CD" w:rsidRDefault="00F566CD" w:rsidP="00451A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:rsidR="00085AED" w:rsidRPr="00196D0A" w:rsidRDefault="00085AED" w:rsidP="00085AED">
            <w:pPr>
              <w:spacing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0341CF" w:rsidRPr="00196D0A" w:rsidRDefault="000341CF" w:rsidP="00451ACC">
            <w:pPr>
              <w:spacing w:after="0" w:line="240" w:lineRule="auto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</w:rPr>
            </w:pPr>
          </w:p>
        </w:tc>
      </w:tr>
    </w:tbl>
    <w:p w:rsidR="00EA04B8" w:rsidRPr="00196D0A" w:rsidRDefault="00EA04B8">
      <w:pPr>
        <w:rPr>
          <w:rFonts w:ascii="Calibri" w:hAnsi="Calibri" w:cs="Calibri"/>
          <w:sz w:val="20"/>
          <w:szCs w:val="20"/>
        </w:rPr>
      </w:pPr>
    </w:p>
    <w:p w:rsidR="00EA04B8" w:rsidRPr="00196D0A" w:rsidRDefault="00EA04B8" w:rsidP="00EA04B8">
      <w:pPr>
        <w:jc w:val="both"/>
        <w:rPr>
          <w:rFonts w:ascii="Calibri" w:hAnsi="Calibri" w:cs="Calibri"/>
          <w:lang w:eastAsia="en-US"/>
        </w:rPr>
      </w:pPr>
    </w:p>
    <w:p w:rsidR="00EA04B8" w:rsidRPr="00196D0A" w:rsidRDefault="00EA04B8" w:rsidP="00F566CD">
      <w:pPr>
        <w:jc w:val="both"/>
        <w:rPr>
          <w:rFonts w:ascii="Calibri" w:hAnsi="Calibri" w:cs="Calibri"/>
          <w:lang w:eastAsia="en-US"/>
        </w:rPr>
      </w:pP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  <w:r w:rsidRPr="00196D0A">
        <w:rPr>
          <w:rFonts w:ascii="Calibri" w:hAnsi="Calibri" w:cs="Calibri"/>
          <w:lang w:eastAsia="en-US"/>
        </w:rPr>
        <w:tab/>
      </w:r>
    </w:p>
    <w:p w:rsidR="00EA04B8" w:rsidRPr="00196D0A" w:rsidRDefault="00EA04B8" w:rsidP="00EA04B8">
      <w:pPr>
        <w:jc w:val="both"/>
        <w:rPr>
          <w:rFonts w:ascii="Calibri" w:hAnsi="Calibri" w:cs="Calibri"/>
          <w:lang w:eastAsia="en-US"/>
        </w:rPr>
      </w:pPr>
    </w:p>
    <w:p w:rsidR="00EA04B8" w:rsidRPr="00196D0A" w:rsidRDefault="00EA04B8">
      <w:pPr>
        <w:rPr>
          <w:rFonts w:ascii="Calibri" w:hAnsi="Calibri" w:cs="Calibri"/>
          <w:sz w:val="20"/>
          <w:szCs w:val="20"/>
        </w:rPr>
      </w:pPr>
    </w:p>
    <w:sectPr w:rsidR="00EA04B8" w:rsidRPr="00196D0A" w:rsidSect="003E2D5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08F" w:rsidRDefault="0078308F" w:rsidP="00277E5E">
      <w:pPr>
        <w:spacing w:after="0" w:line="240" w:lineRule="auto"/>
      </w:pPr>
      <w:r>
        <w:separator/>
      </w:r>
    </w:p>
  </w:endnote>
  <w:endnote w:type="continuationSeparator" w:id="0">
    <w:p w:rsidR="0078308F" w:rsidRDefault="0078308F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08F" w:rsidRDefault="0078308F" w:rsidP="00277E5E">
      <w:pPr>
        <w:spacing w:after="0" w:line="240" w:lineRule="auto"/>
      </w:pPr>
      <w:r>
        <w:separator/>
      </w:r>
    </w:p>
  </w:footnote>
  <w:footnote w:type="continuationSeparator" w:id="0">
    <w:p w:rsidR="0078308F" w:rsidRDefault="0078308F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14" w:rsidRDefault="00205A14" w:rsidP="00277E5E">
    <w:pPr>
      <w:pStyle w:val="Zaglavlje"/>
      <w:jc w:val="right"/>
    </w:pPr>
    <w:r>
      <w:t>Obrazloženje-</w:t>
    </w:r>
    <w:proofErr w:type="spellStart"/>
    <w:r>
      <w:t>pror.korisnik</w:t>
    </w:r>
    <w:proofErr w:type="spellEnd"/>
  </w:p>
  <w:p w:rsidR="00205A14" w:rsidRDefault="00205A1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BAC"/>
    <w:multiLevelType w:val="hybridMultilevel"/>
    <w:tmpl w:val="CF9AF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B65B3"/>
    <w:multiLevelType w:val="hybridMultilevel"/>
    <w:tmpl w:val="50B497C2"/>
    <w:lvl w:ilvl="0" w:tplc="CA2C88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84A49"/>
    <w:multiLevelType w:val="hybridMultilevel"/>
    <w:tmpl w:val="E3748D44"/>
    <w:lvl w:ilvl="0" w:tplc="4064B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4C37"/>
    <w:multiLevelType w:val="hybridMultilevel"/>
    <w:tmpl w:val="44E47074"/>
    <w:lvl w:ilvl="0" w:tplc="CE646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505ED"/>
    <w:multiLevelType w:val="hybridMultilevel"/>
    <w:tmpl w:val="597695CA"/>
    <w:lvl w:ilvl="0" w:tplc="05841C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0E67C2"/>
    <w:multiLevelType w:val="hybridMultilevel"/>
    <w:tmpl w:val="E25C99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CC25F6"/>
    <w:multiLevelType w:val="hybridMultilevel"/>
    <w:tmpl w:val="2A08F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0"/>
  </w:num>
  <w:num w:numId="8">
    <w:abstractNumId w:val="0"/>
  </w:num>
  <w:num w:numId="9">
    <w:abstractNumId w:val="7"/>
  </w:num>
  <w:num w:numId="10">
    <w:abstractNumId w:val="3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5C"/>
    <w:rsid w:val="00005846"/>
    <w:rsid w:val="000215D7"/>
    <w:rsid w:val="000341CF"/>
    <w:rsid w:val="00035FE8"/>
    <w:rsid w:val="00061F60"/>
    <w:rsid w:val="00071CDD"/>
    <w:rsid w:val="00073158"/>
    <w:rsid w:val="00076FA5"/>
    <w:rsid w:val="00081C3D"/>
    <w:rsid w:val="0008459A"/>
    <w:rsid w:val="00085AED"/>
    <w:rsid w:val="00086E31"/>
    <w:rsid w:val="000937E5"/>
    <w:rsid w:val="000A1925"/>
    <w:rsid w:val="000B4AFB"/>
    <w:rsid w:val="000C6247"/>
    <w:rsid w:val="000D5BC6"/>
    <w:rsid w:val="001171CD"/>
    <w:rsid w:val="00127A5E"/>
    <w:rsid w:val="0013587C"/>
    <w:rsid w:val="00136453"/>
    <w:rsid w:val="001663BA"/>
    <w:rsid w:val="00166B6A"/>
    <w:rsid w:val="00175235"/>
    <w:rsid w:val="00187AAB"/>
    <w:rsid w:val="00196D0A"/>
    <w:rsid w:val="001A351A"/>
    <w:rsid w:val="001A3861"/>
    <w:rsid w:val="001A5035"/>
    <w:rsid w:val="001B12C3"/>
    <w:rsid w:val="001B4800"/>
    <w:rsid w:val="001D72E2"/>
    <w:rsid w:val="001E398B"/>
    <w:rsid w:val="00205A14"/>
    <w:rsid w:val="00205C62"/>
    <w:rsid w:val="0021208D"/>
    <w:rsid w:val="00224DD9"/>
    <w:rsid w:val="00237FB1"/>
    <w:rsid w:val="00252E2D"/>
    <w:rsid w:val="00254FD1"/>
    <w:rsid w:val="00257702"/>
    <w:rsid w:val="00257761"/>
    <w:rsid w:val="00262D13"/>
    <w:rsid w:val="00277E5E"/>
    <w:rsid w:val="002908D9"/>
    <w:rsid w:val="00294F36"/>
    <w:rsid w:val="002A33D5"/>
    <w:rsid w:val="002C5EC0"/>
    <w:rsid w:val="002F7429"/>
    <w:rsid w:val="00321C76"/>
    <w:rsid w:val="003236A1"/>
    <w:rsid w:val="00335C7A"/>
    <w:rsid w:val="00360259"/>
    <w:rsid w:val="00362AFF"/>
    <w:rsid w:val="00372035"/>
    <w:rsid w:val="003743BF"/>
    <w:rsid w:val="003B6516"/>
    <w:rsid w:val="003C014F"/>
    <w:rsid w:val="003C46AB"/>
    <w:rsid w:val="003D3D05"/>
    <w:rsid w:val="003D5F2B"/>
    <w:rsid w:val="003E0D51"/>
    <w:rsid w:val="003E2788"/>
    <w:rsid w:val="003E2D5C"/>
    <w:rsid w:val="003E501E"/>
    <w:rsid w:val="003E77C2"/>
    <w:rsid w:val="003F160D"/>
    <w:rsid w:val="003F6177"/>
    <w:rsid w:val="00434AAF"/>
    <w:rsid w:val="00436FFB"/>
    <w:rsid w:val="00444589"/>
    <w:rsid w:val="00451ACC"/>
    <w:rsid w:val="004565B3"/>
    <w:rsid w:val="00465C22"/>
    <w:rsid w:val="00465DE4"/>
    <w:rsid w:val="004661CD"/>
    <w:rsid w:val="00481039"/>
    <w:rsid w:val="00495878"/>
    <w:rsid w:val="00496FF1"/>
    <w:rsid w:val="004A3168"/>
    <w:rsid w:val="004D03D7"/>
    <w:rsid w:val="004D7E2D"/>
    <w:rsid w:val="004E336C"/>
    <w:rsid w:val="004E7E1E"/>
    <w:rsid w:val="004F59B1"/>
    <w:rsid w:val="004F6686"/>
    <w:rsid w:val="005227F1"/>
    <w:rsid w:val="005308B7"/>
    <w:rsid w:val="005310FF"/>
    <w:rsid w:val="00557376"/>
    <w:rsid w:val="005658FA"/>
    <w:rsid w:val="0056597A"/>
    <w:rsid w:val="0057115E"/>
    <w:rsid w:val="00591626"/>
    <w:rsid w:val="005A443A"/>
    <w:rsid w:val="005B01AB"/>
    <w:rsid w:val="005B0665"/>
    <w:rsid w:val="005C3BC3"/>
    <w:rsid w:val="005C487B"/>
    <w:rsid w:val="005E3EFB"/>
    <w:rsid w:val="006052E3"/>
    <w:rsid w:val="00613650"/>
    <w:rsid w:val="00615A7D"/>
    <w:rsid w:val="0062335B"/>
    <w:rsid w:val="006256F4"/>
    <w:rsid w:val="0063253E"/>
    <w:rsid w:val="00655AFD"/>
    <w:rsid w:val="00660E7B"/>
    <w:rsid w:val="00664DC9"/>
    <w:rsid w:val="00667E4F"/>
    <w:rsid w:val="00681DE0"/>
    <w:rsid w:val="006B5CCE"/>
    <w:rsid w:val="006B7B69"/>
    <w:rsid w:val="006F74FC"/>
    <w:rsid w:val="007508E0"/>
    <w:rsid w:val="00766F14"/>
    <w:rsid w:val="0078308F"/>
    <w:rsid w:val="00791821"/>
    <w:rsid w:val="007A07AC"/>
    <w:rsid w:val="007B112B"/>
    <w:rsid w:val="007D65ED"/>
    <w:rsid w:val="007F0985"/>
    <w:rsid w:val="007F6BE2"/>
    <w:rsid w:val="007F725E"/>
    <w:rsid w:val="00801FD4"/>
    <w:rsid w:val="008442B2"/>
    <w:rsid w:val="0085376A"/>
    <w:rsid w:val="00876D4C"/>
    <w:rsid w:val="00884AE1"/>
    <w:rsid w:val="00884CA4"/>
    <w:rsid w:val="00886416"/>
    <w:rsid w:val="008A469A"/>
    <w:rsid w:val="008C10C4"/>
    <w:rsid w:val="008C7CA0"/>
    <w:rsid w:val="008E1211"/>
    <w:rsid w:val="008F2FFF"/>
    <w:rsid w:val="009140BA"/>
    <w:rsid w:val="00930212"/>
    <w:rsid w:val="00937600"/>
    <w:rsid w:val="0094009E"/>
    <w:rsid w:val="009454A1"/>
    <w:rsid w:val="0097531E"/>
    <w:rsid w:val="0097639B"/>
    <w:rsid w:val="00981674"/>
    <w:rsid w:val="0098689C"/>
    <w:rsid w:val="009D14A7"/>
    <w:rsid w:val="009D56FB"/>
    <w:rsid w:val="009E7DDE"/>
    <w:rsid w:val="009F33B8"/>
    <w:rsid w:val="009F36BF"/>
    <w:rsid w:val="00A0673E"/>
    <w:rsid w:val="00A12D2E"/>
    <w:rsid w:val="00A400F1"/>
    <w:rsid w:val="00A445E2"/>
    <w:rsid w:val="00A4709C"/>
    <w:rsid w:val="00A647F9"/>
    <w:rsid w:val="00A83F80"/>
    <w:rsid w:val="00A8606D"/>
    <w:rsid w:val="00A906BF"/>
    <w:rsid w:val="00AA430D"/>
    <w:rsid w:val="00AA64C5"/>
    <w:rsid w:val="00AB6832"/>
    <w:rsid w:val="00AC113D"/>
    <w:rsid w:val="00B02815"/>
    <w:rsid w:val="00B14037"/>
    <w:rsid w:val="00B1609F"/>
    <w:rsid w:val="00B278F4"/>
    <w:rsid w:val="00B6763F"/>
    <w:rsid w:val="00B93BBE"/>
    <w:rsid w:val="00BA27E3"/>
    <w:rsid w:val="00BB0162"/>
    <w:rsid w:val="00BB12DE"/>
    <w:rsid w:val="00BC55FD"/>
    <w:rsid w:val="00BD0A08"/>
    <w:rsid w:val="00BE05EE"/>
    <w:rsid w:val="00BE383B"/>
    <w:rsid w:val="00BF1063"/>
    <w:rsid w:val="00BF4FD0"/>
    <w:rsid w:val="00BF6085"/>
    <w:rsid w:val="00C0791B"/>
    <w:rsid w:val="00C107C8"/>
    <w:rsid w:val="00C20F3F"/>
    <w:rsid w:val="00C34EA0"/>
    <w:rsid w:val="00C800A9"/>
    <w:rsid w:val="00C83DD2"/>
    <w:rsid w:val="00C90B14"/>
    <w:rsid w:val="00C959F8"/>
    <w:rsid w:val="00CA25A8"/>
    <w:rsid w:val="00CB11B4"/>
    <w:rsid w:val="00CD68DB"/>
    <w:rsid w:val="00D239B7"/>
    <w:rsid w:val="00D34235"/>
    <w:rsid w:val="00D54847"/>
    <w:rsid w:val="00D67106"/>
    <w:rsid w:val="00D7062E"/>
    <w:rsid w:val="00D738A5"/>
    <w:rsid w:val="00DA487B"/>
    <w:rsid w:val="00DA4A06"/>
    <w:rsid w:val="00DB1F76"/>
    <w:rsid w:val="00DC3656"/>
    <w:rsid w:val="00DC69A2"/>
    <w:rsid w:val="00DD211F"/>
    <w:rsid w:val="00DF042C"/>
    <w:rsid w:val="00E01BA6"/>
    <w:rsid w:val="00E036C3"/>
    <w:rsid w:val="00E10491"/>
    <w:rsid w:val="00E1371E"/>
    <w:rsid w:val="00E61555"/>
    <w:rsid w:val="00E70BF4"/>
    <w:rsid w:val="00E723D0"/>
    <w:rsid w:val="00E813E7"/>
    <w:rsid w:val="00EA04B8"/>
    <w:rsid w:val="00EB5E0E"/>
    <w:rsid w:val="00EC71DC"/>
    <w:rsid w:val="00ED65B5"/>
    <w:rsid w:val="00EE14C1"/>
    <w:rsid w:val="00EE4D92"/>
    <w:rsid w:val="00EE50EC"/>
    <w:rsid w:val="00F03268"/>
    <w:rsid w:val="00F12A16"/>
    <w:rsid w:val="00F13CE6"/>
    <w:rsid w:val="00F15425"/>
    <w:rsid w:val="00F566CD"/>
    <w:rsid w:val="00F57541"/>
    <w:rsid w:val="00F661C1"/>
    <w:rsid w:val="00F72F50"/>
    <w:rsid w:val="00F90D0D"/>
    <w:rsid w:val="00F92D0A"/>
    <w:rsid w:val="00FA5A91"/>
    <w:rsid w:val="00FB298D"/>
    <w:rsid w:val="00FF06EA"/>
    <w:rsid w:val="00FF0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32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rsid w:val="00127A5E"/>
    <w:pPr>
      <w:shd w:val="clear" w:color="auto" w:fill="FFFFFF"/>
      <w:spacing w:after="0" w:line="240" w:lineRule="auto"/>
      <w:ind w:left="720"/>
      <w:jc w:val="both"/>
    </w:pPr>
    <w:rPr>
      <w:rFonts w:eastAsia="Calibri" w:cstheme="minorHAnsi"/>
      <w:shd w:val="clear" w:color="auto" w:fill="FFFFF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CD68DB"/>
    <w:pPr>
      <w:ind w:left="720"/>
      <w:contextualSpacing/>
    </w:pPr>
  </w:style>
  <w:style w:type="paragraph" w:customStyle="1" w:styleId="Default">
    <w:name w:val="Default"/>
    <w:rsid w:val="00C107C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ezproreda">
    <w:name w:val="No Spacing"/>
    <w:uiPriority w:val="1"/>
    <w:qFormat/>
    <w:rsid w:val="00557376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Reetkatablice">
    <w:name w:val="Table Grid"/>
    <w:basedOn w:val="Obinatablica"/>
    <w:uiPriority w:val="59"/>
    <w:rsid w:val="00EB5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32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"/>
    <w:rsid w:val="00127A5E"/>
    <w:pPr>
      <w:shd w:val="clear" w:color="auto" w:fill="FFFFFF"/>
      <w:spacing w:after="0" w:line="240" w:lineRule="auto"/>
      <w:ind w:left="720"/>
      <w:jc w:val="both"/>
    </w:pPr>
    <w:rPr>
      <w:rFonts w:eastAsia="Calibri" w:cstheme="minorHAnsi"/>
      <w:shd w:val="clear" w:color="auto" w:fill="FFFFF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CAFEA-5819-46E6-8999-E496EFA5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3964</Words>
  <Characters>22599</Characters>
  <Application>Microsoft Office Word</Application>
  <DocSecurity>0</DocSecurity>
  <Lines>188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26510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sbencik</cp:lastModifiedBy>
  <cp:revision>15</cp:revision>
  <cp:lastPrinted>2025-11-24T12:16:00Z</cp:lastPrinted>
  <dcterms:created xsi:type="dcterms:W3CDTF">2025-09-19T17:51:00Z</dcterms:created>
  <dcterms:modified xsi:type="dcterms:W3CDTF">2025-11-24T12:19:00Z</dcterms:modified>
</cp:coreProperties>
</file>